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shd w:val="clear" w:color="auto" w:fill="FFFFFF" w:themeFill="background1"/>
        <w:kinsoku/>
        <w:wordWrap/>
        <w:overflowPunct/>
        <w:topLinePunct w:val="0"/>
        <w:autoSpaceDE/>
        <w:autoSpaceDN/>
        <w:bidi w:val="0"/>
        <w:adjustRightInd/>
        <w:snapToGrid/>
        <w:spacing w:line="360" w:lineRule="auto"/>
        <w:ind w:firstLine="723"/>
        <w:jc w:val="center"/>
        <w:textAlignment w:val="auto"/>
        <w:outlineLvl w:val="0"/>
        <w:rPr>
          <w:rFonts w:hint="eastAsia" w:eastAsia="宋体" w:cs="Times New Roman"/>
          <w:b/>
          <w:color w:val="auto"/>
          <w:sz w:val="36"/>
          <w:szCs w:val="36"/>
        </w:rPr>
      </w:pPr>
      <w:bookmarkStart w:id="0" w:name="_Toc24764"/>
      <w:bookmarkStart w:id="1" w:name="_Toc11705"/>
      <w:r>
        <w:rPr>
          <w:rFonts w:hint="eastAsia" w:eastAsia="宋体" w:cs="Times New Roman"/>
          <w:b/>
          <w:color w:val="auto"/>
          <w:sz w:val="36"/>
          <w:szCs w:val="36"/>
        </w:rPr>
        <w:t>2022年度建设（交通）政务服务专项经费</w:t>
      </w:r>
    </w:p>
    <w:p>
      <w:pPr>
        <w:pageBreakBefore w:val="0"/>
        <w:shd w:val="clear" w:color="auto" w:fill="FFFFFF" w:themeFill="background1"/>
        <w:kinsoku/>
        <w:wordWrap/>
        <w:overflowPunct/>
        <w:topLinePunct w:val="0"/>
        <w:autoSpaceDE/>
        <w:autoSpaceDN/>
        <w:bidi w:val="0"/>
        <w:adjustRightInd/>
        <w:snapToGrid/>
        <w:spacing w:line="360" w:lineRule="auto"/>
        <w:ind w:firstLine="723"/>
        <w:jc w:val="center"/>
        <w:textAlignment w:val="auto"/>
        <w:outlineLvl w:val="0"/>
        <w:rPr>
          <w:rFonts w:cs="Times New Roman"/>
          <w:b/>
          <w:color w:val="auto"/>
          <w:sz w:val="36"/>
          <w:szCs w:val="36"/>
        </w:rPr>
      </w:pPr>
      <w:r>
        <w:rPr>
          <w:rFonts w:hint="eastAsia" w:eastAsia="宋体" w:cs="Times New Roman"/>
          <w:b/>
          <w:color w:val="auto"/>
          <w:sz w:val="36"/>
          <w:szCs w:val="36"/>
        </w:rPr>
        <w:t>自评结果</w:t>
      </w:r>
      <w:bookmarkEnd w:id="0"/>
      <w:bookmarkEnd w:id="1"/>
    </w:p>
    <w:p>
      <w:pPr>
        <w:pStyle w:val="26"/>
        <w:pageBreakBefore w:val="0"/>
        <w:shd w:val="clear" w:color="auto" w:fill="FFFFFF" w:themeFill="background1"/>
        <w:kinsoku/>
        <w:wordWrap/>
        <w:overflowPunct/>
        <w:topLinePunct w:val="0"/>
        <w:autoSpaceDE/>
        <w:autoSpaceDN/>
        <w:bidi w:val="0"/>
        <w:adjustRightInd/>
        <w:snapToGrid/>
        <w:spacing w:line="360" w:lineRule="auto"/>
        <w:ind w:firstLine="0" w:firstLineChars="0"/>
        <w:jc w:val="center"/>
        <w:textAlignment w:val="auto"/>
        <w:outlineLvl w:val="0"/>
        <w:rPr>
          <w:rFonts w:ascii="楷体" w:hAnsi="楷体" w:eastAsia="楷体" w:cs="楷体"/>
          <w:b/>
          <w:sz w:val="32"/>
        </w:rPr>
      </w:pPr>
      <w:bookmarkStart w:id="2" w:name="_Toc27748"/>
      <w:bookmarkStart w:id="3" w:name="_Toc15949"/>
      <w:bookmarkStart w:id="4" w:name="_Toc25753"/>
      <w:r>
        <w:rPr>
          <w:rFonts w:hint="eastAsia" w:ascii="楷体" w:hAnsi="楷体" w:eastAsia="楷体" w:cs="楷体"/>
          <w:b/>
          <w:sz w:val="32"/>
        </w:rPr>
        <w:t>（缩略版）</w:t>
      </w:r>
      <w:bookmarkEnd w:id="2"/>
      <w:bookmarkEnd w:id="3"/>
      <w:bookmarkEnd w:id="4"/>
    </w:p>
    <w:p>
      <w:pPr>
        <w:pStyle w:val="26"/>
        <w:pageBreakBefore w:val="0"/>
        <w:shd w:val="clear" w:color="auto" w:fill="FFFFFF" w:themeFill="background1"/>
        <w:kinsoku/>
        <w:wordWrap/>
        <w:overflowPunct/>
        <w:topLinePunct w:val="0"/>
        <w:autoSpaceDE/>
        <w:autoSpaceDN/>
        <w:bidi w:val="0"/>
        <w:adjustRightInd/>
        <w:snapToGrid/>
        <w:spacing w:line="360" w:lineRule="auto"/>
        <w:ind w:firstLine="643"/>
        <w:jc w:val="both"/>
        <w:textAlignment w:val="auto"/>
        <w:outlineLvl w:val="0"/>
        <w:rPr>
          <w:rFonts w:ascii="Times New Roman" w:hAnsi="Times New Roman" w:eastAsia="黑体"/>
          <w:b/>
          <w:sz w:val="32"/>
        </w:rPr>
      </w:pPr>
      <w:bookmarkStart w:id="5" w:name="_Toc17316"/>
      <w:bookmarkStart w:id="6" w:name="_Toc27312"/>
      <w:bookmarkStart w:id="7" w:name="_Toc26153"/>
      <w:bookmarkStart w:id="8" w:name="_Toc11888"/>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pPr>
        <w:pStyle w:val="4"/>
        <w:pageBreakBefore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9" w:name="_Toc24793"/>
      <w:bookmarkStart w:id="10" w:name="_Toc31042"/>
      <w:bookmarkStart w:id="11" w:name="_Toc27117"/>
      <w:bookmarkStart w:id="12" w:name="_Toc22037"/>
      <w:r>
        <w:rPr>
          <w:rFonts w:hint="eastAsia" w:ascii="Times New Roman" w:hAnsi="Times New Roman" w:eastAsia="楷体" w:cs="Times New Roman"/>
        </w:rPr>
        <w:t>（一）自评得分</w:t>
      </w:r>
      <w:bookmarkEnd w:id="9"/>
      <w:bookmarkEnd w:id="10"/>
      <w:bookmarkEnd w:id="11"/>
      <w:bookmarkEnd w:id="12"/>
    </w:p>
    <w:p>
      <w:pPr>
        <w:pageBreakBefore w:val="0"/>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rPr>
        <w:t>武汉经济技术开发区（汉南区）住房和城乡建设局2022年度建设（交通）政务服务专项经费</w:t>
      </w:r>
      <w:r>
        <w:t>绩效评价综合得分为</w:t>
      </w:r>
      <w:r>
        <w:rPr>
          <w:rFonts w:hint="eastAsia"/>
          <w:lang w:val="en-US" w:eastAsia="zh-CN"/>
        </w:rPr>
        <w:t>88.64</w:t>
      </w:r>
      <w:r>
        <w:t>分。</w:t>
      </w:r>
    </w:p>
    <w:p>
      <w:pPr>
        <w:pStyle w:val="4"/>
        <w:pageBreakBefore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13" w:name="_Toc6277"/>
      <w:bookmarkStart w:id="14" w:name="_Toc19004"/>
      <w:bookmarkStart w:id="15" w:name="_Toc16152"/>
      <w:bookmarkStart w:id="16" w:name="_Toc17113"/>
      <w:r>
        <w:rPr>
          <w:rFonts w:hint="eastAsia" w:ascii="Times New Roman" w:hAnsi="Times New Roman" w:eastAsia="楷体" w:cs="Times New Roman"/>
        </w:rPr>
        <w:t>（二）绩效目标完成情况</w:t>
      </w:r>
      <w:bookmarkEnd w:id="13"/>
      <w:bookmarkEnd w:id="14"/>
      <w:bookmarkEnd w:id="15"/>
      <w:bookmarkEnd w:id="16"/>
    </w:p>
    <w:p>
      <w:pPr>
        <w:pageBreakBefore w:val="0"/>
        <w:kinsoku/>
        <w:wordWrap/>
        <w:overflowPunct/>
        <w:topLinePunct w:val="0"/>
        <w:autoSpaceDE/>
        <w:autoSpaceDN/>
        <w:bidi w:val="0"/>
        <w:adjustRightInd/>
        <w:snapToGrid/>
        <w:spacing w:line="360" w:lineRule="auto"/>
        <w:ind w:firstLine="640"/>
        <w:textAlignment w:val="auto"/>
        <w:rPr>
          <w:bCs/>
          <w:szCs w:val="32"/>
          <w:highlight w:val="none"/>
        </w:rPr>
      </w:pPr>
      <w:r>
        <w:rPr>
          <w:rFonts w:hint="eastAsia"/>
          <w:bCs/>
          <w:szCs w:val="32"/>
          <w:highlight w:val="none"/>
        </w:rPr>
        <w:t>1.执行率情况。</w:t>
      </w:r>
      <w:r>
        <w:rPr>
          <w:rFonts w:hint="eastAsia"/>
          <w:highlight w:val="none"/>
        </w:rPr>
        <w:t>2022年度项目预算金额为1</w:t>
      </w:r>
      <w:r>
        <w:rPr>
          <w:rFonts w:hint="eastAsia"/>
          <w:highlight w:val="none"/>
          <w:lang w:val="en-US" w:eastAsia="zh-CN"/>
        </w:rPr>
        <w:t>,</w:t>
      </w:r>
      <w:r>
        <w:rPr>
          <w:rFonts w:hint="eastAsia"/>
          <w:highlight w:val="none"/>
        </w:rPr>
        <w:t>326.25万元。本项目年度实际支出838.50万元，预算执行率为</w:t>
      </w:r>
      <w:r>
        <w:rPr>
          <w:highlight w:val="none"/>
        </w:rPr>
        <w:t>63.22</w:t>
      </w:r>
      <w:r>
        <w:rPr>
          <w:rFonts w:hint="eastAsia"/>
          <w:highlight w:val="none"/>
        </w:rPr>
        <w:t>%</w:t>
      </w:r>
      <w:r>
        <w:rPr>
          <w:highlight w:val="none"/>
        </w:rPr>
        <w:t>。</w:t>
      </w:r>
    </w:p>
    <w:p>
      <w:pPr>
        <w:pageBreakBefore w:val="0"/>
        <w:kinsoku/>
        <w:wordWrap/>
        <w:overflowPunct/>
        <w:topLinePunct w:val="0"/>
        <w:autoSpaceDE/>
        <w:autoSpaceDN/>
        <w:bidi w:val="0"/>
        <w:adjustRightInd/>
        <w:snapToGrid/>
        <w:spacing w:line="360" w:lineRule="auto"/>
        <w:ind w:firstLine="640"/>
        <w:textAlignment w:val="auto"/>
        <w:rPr>
          <w:bCs/>
          <w:szCs w:val="32"/>
          <w:highlight w:val="none"/>
        </w:rPr>
      </w:pPr>
      <w:r>
        <w:rPr>
          <w:rFonts w:hint="eastAsia"/>
          <w:bCs/>
          <w:szCs w:val="32"/>
          <w:highlight w:val="none"/>
        </w:rPr>
        <w:t>2.完成的绩效目标。</w:t>
      </w:r>
      <w:r>
        <w:rPr>
          <w:rFonts w:hint="eastAsia"/>
          <w:highlight w:val="none"/>
        </w:rPr>
        <w:t>本项目共设置</w:t>
      </w:r>
      <w:r>
        <w:rPr>
          <w:rFonts w:hint="eastAsia"/>
          <w:highlight w:val="none"/>
          <w:lang w:val="en-US" w:eastAsia="zh-CN"/>
        </w:rPr>
        <w:t>8</w:t>
      </w:r>
      <w:r>
        <w:rPr>
          <w:rFonts w:hint="eastAsia"/>
          <w:highlight w:val="none"/>
        </w:rPr>
        <w:t>个绩效指标，完成了</w:t>
      </w:r>
      <w:r>
        <w:rPr>
          <w:rFonts w:hint="eastAsia"/>
          <w:highlight w:val="none"/>
          <w:lang w:val="en-US" w:eastAsia="zh-CN"/>
        </w:rPr>
        <w:t>6</w:t>
      </w:r>
      <w:r>
        <w:rPr>
          <w:rFonts w:hint="eastAsia"/>
          <w:highlight w:val="none"/>
        </w:rPr>
        <w:t>个。资金使用较为规范，项目产出较好，并取得了较好的社会效益。</w:t>
      </w:r>
    </w:p>
    <w:p>
      <w:pPr>
        <w:pageBreakBefore w:val="0"/>
        <w:kinsoku/>
        <w:wordWrap/>
        <w:overflowPunct/>
        <w:topLinePunct w:val="0"/>
        <w:autoSpaceDE/>
        <w:autoSpaceDN/>
        <w:bidi w:val="0"/>
        <w:adjustRightInd/>
        <w:snapToGrid/>
        <w:spacing w:line="360" w:lineRule="auto"/>
        <w:ind w:firstLine="640"/>
        <w:textAlignment w:val="auto"/>
        <w:rPr>
          <w:bCs/>
          <w:szCs w:val="32"/>
          <w:highlight w:val="none"/>
        </w:rPr>
      </w:pPr>
      <w:r>
        <w:rPr>
          <w:rFonts w:hint="eastAsia"/>
          <w:bCs/>
          <w:szCs w:val="32"/>
          <w:highlight w:val="none"/>
        </w:rPr>
        <w:t>3.未完成的绩效目标。</w:t>
      </w:r>
      <w:r>
        <w:rPr>
          <w:rFonts w:hint="eastAsia"/>
          <w:highlight w:val="none"/>
        </w:rPr>
        <w:t>“借用、聘用人员出勤到位率”</w:t>
      </w:r>
      <w:r>
        <w:rPr>
          <w:rFonts w:hint="eastAsia"/>
          <w:highlight w:val="none"/>
          <w:lang w:val="en-US" w:eastAsia="zh-CN"/>
        </w:rPr>
        <w:t>年度目标值为“95人”，时间完成值为“73人”；“绩效考核频率”</w:t>
      </w:r>
      <w:r>
        <w:rPr>
          <w:rFonts w:hint="eastAsia"/>
          <w:highlight w:val="none"/>
        </w:rPr>
        <w:t>年度目标值为</w:t>
      </w:r>
      <w:r>
        <w:rPr>
          <w:rFonts w:hint="eastAsia"/>
          <w:highlight w:val="none"/>
          <w:lang w:val="en-US" w:eastAsia="zh-CN"/>
        </w:rPr>
        <w:t>1次/月</w:t>
      </w:r>
      <w:r>
        <w:rPr>
          <w:rFonts w:hint="eastAsia"/>
          <w:highlight w:val="none"/>
        </w:rPr>
        <w:t>，</w:t>
      </w:r>
      <w:r>
        <w:rPr>
          <w:rFonts w:hint="eastAsia"/>
          <w:highlight w:val="none"/>
          <w:lang w:val="en-US" w:eastAsia="zh-CN"/>
        </w:rPr>
        <w:t>2022年政务服务外包项目用工单位服务人员每月考核一次，年终考核一次；国有企业借用人员每半年考核一次，年终考核一次，未完成绩效目标</w:t>
      </w:r>
      <w:r>
        <w:rPr>
          <w:rFonts w:hint="eastAsia"/>
          <w:highlight w:val="none"/>
        </w:rPr>
        <w:t>。</w:t>
      </w:r>
    </w:p>
    <w:p>
      <w:pPr>
        <w:pStyle w:val="4"/>
        <w:pageBreakBefore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17" w:name="_Toc30659"/>
      <w:bookmarkStart w:id="18" w:name="_Toc14306"/>
      <w:bookmarkStart w:id="19" w:name="_Toc12544"/>
      <w:bookmarkStart w:id="20" w:name="_Toc49867096"/>
      <w:bookmarkStart w:id="21" w:name="_Toc24094"/>
      <w:r>
        <w:rPr>
          <w:rFonts w:hint="eastAsia" w:ascii="Times New Roman" w:hAnsi="Times New Roman" w:eastAsia="楷体" w:cs="Times New Roman"/>
        </w:rPr>
        <w:t>（三）存在的问题和原因</w:t>
      </w:r>
      <w:bookmarkEnd w:id="17"/>
      <w:bookmarkEnd w:id="18"/>
      <w:bookmarkEnd w:id="19"/>
      <w:bookmarkEnd w:id="20"/>
      <w:bookmarkEnd w:id="21"/>
    </w:p>
    <w:p>
      <w:pPr>
        <w:pageBreakBefore w:val="0"/>
        <w:kinsoku/>
        <w:wordWrap/>
        <w:overflowPunct/>
        <w:topLinePunct w:val="0"/>
        <w:autoSpaceDE/>
        <w:autoSpaceDN/>
        <w:bidi w:val="0"/>
        <w:adjustRightInd/>
        <w:snapToGrid/>
        <w:spacing w:line="360" w:lineRule="auto"/>
        <w:ind w:firstLine="640"/>
        <w:textAlignment w:val="auto"/>
        <w:rPr>
          <w:bCs/>
          <w:szCs w:val="32"/>
        </w:rPr>
      </w:pPr>
      <w:bookmarkStart w:id="22" w:name="_Toc3644"/>
      <w:r>
        <w:rPr>
          <w:rFonts w:hint="eastAsia"/>
          <w:bCs/>
          <w:szCs w:val="32"/>
        </w:rPr>
        <w:t>1.上年度绩效评价结果应用情况</w:t>
      </w:r>
      <w:bookmarkEnd w:id="22"/>
    </w:p>
    <w:p>
      <w:pPr>
        <w:pageBreakBefore w:val="0"/>
        <w:kinsoku/>
        <w:wordWrap/>
        <w:overflowPunct/>
        <w:topLinePunct w:val="0"/>
        <w:autoSpaceDE/>
        <w:autoSpaceDN/>
        <w:bidi w:val="0"/>
        <w:adjustRightInd/>
        <w:snapToGrid/>
        <w:spacing w:line="360" w:lineRule="auto"/>
        <w:ind w:firstLine="640"/>
        <w:textAlignment w:val="auto"/>
        <w:rPr>
          <w:rFonts w:hint="default"/>
          <w:bCs/>
          <w:szCs w:val="32"/>
          <w:lang w:val="en-US" w:eastAsia="zh-CN"/>
        </w:rPr>
      </w:pPr>
      <w:bookmarkStart w:id="23" w:name="_Toc29819"/>
      <w:r>
        <w:rPr>
          <w:rFonts w:hint="eastAsia"/>
          <w:bCs/>
          <w:szCs w:val="32"/>
          <w:lang w:val="en-US" w:eastAsia="zh-CN"/>
        </w:rPr>
        <w:t>本项目上年度实施了绩效自评并形成了项目自评表及项目自评报告。通过上年度的绩效自评工作，规范了绩效指标的“指标内容”和“指标值”的填写，例如：数量指标的内容表述为“绩效考核频率</w:t>
      </w:r>
      <w:r>
        <w:rPr>
          <w:rFonts w:hint="default"/>
          <w:bCs/>
          <w:szCs w:val="32"/>
          <w:lang w:val="en-US" w:eastAsia="zh-CN"/>
        </w:rPr>
        <w:t>”</w:t>
      </w:r>
      <w:r>
        <w:rPr>
          <w:rFonts w:hint="eastAsia"/>
          <w:bCs/>
          <w:szCs w:val="32"/>
          <w:lang w:val="en-US" w:eastAsia="zh-CN"/>
        </w:rPr>
        <w:t>，量化了考核内容。</w:t>
      </w:r>
    </w:p>
    <w:p>
      <w:pPr>
        <w:pageBreakBefore w:val="0"/>
        <w:kinsoku/>
        <w:wordWrap/>
        <w:overflowPunct/>
        <w:topLinePunct w:val="0"/>
        <w:autoSpaceDE/>
        <w:autoSpaceDN/>
        <w:bidi w:val="0"/>
        <w:adjustRightInd/>
        <w:snapToGrid/>
        <w:spacing w:line="360" w:lineRule="auto"/>
        <w:ind w:firstLine="640"/>
        <w:textAlignment w:val="auto"/>
        <w:rPr>
          <w:bCs/>
          <w:szCs w:val="32"/>
        </w:rPr>
      </w:pPr>
      <w:r>
        <w:rPr>
          <w:rFonts w:hint="eastAsia"/>
          <w:bCs/>
          <w:szCs w:val="32"/>
        </w:rPr>
        <w:t>2.本年度绩效管理中存在的问题和原因</w:t>
      </w:r>
      <w:bookmarkEnd w:id="23"/>
    </w:p>
    <w:p>
      <w:pPr>
        <w:pageBreakBefore w:val="0"/>
        <w:kinsoku/>
        <w:wordWrap/>
        <w:overflowPunct/>
        <w:topLinePunct w:val="0"/>
        <w:autoSpaceDE/>
        <w:autoSpaceDN/>
        <w:bidi w:val="0"/>
        <w:adjustRightInd/>
        <w:snapToGrid/>
        <w:spacing w:line="360" w:lineRule="auto"/>
        <w:ind w:firstLine="640"/>
        <w:textAlignment w:val="auto"/>
        <w:rPr>
          <w:b/>
        </w:rPr>
      </w:pPr>
      <w:r>
        <w:rPr>
          <w:rFonts w:hint="eastAsia"/>
          <w:bCs/>
          <w:szCs w:val="32"/>
        </w:rPr>
        <w:t>（1）</w:t>
      </w:r>
      <w:bookmarkStart w:id="24" w:name="_Hlk102116870"/>
      <w:r>
        <w:rPr>
          <w:rFonts w:hint="eastAsia"/>
          <w:bCs/>
          <w:szCs w:val="32"/>
          <w:lang w:val="en-US" w:eastAsia="zh-CN"/>
        </w:rPr>
        <w:t>2022年7月机构改革后，岗位需求发生变化，需根据新的机构设置来年建设（交通）政务服务专项经费预算</w:t>
      </w:r>
      <w:r>
        <w:rPr>
          <w:rFonts w:hint="eastAsia"/>
        </w:rPr>
        <w:t>。</w:t>
      </w:r>
    </w:p>
    <w:bookmarkEnd w:id="24"/>
    <w:p>
      <w:pPr>
        <w:pageBreakBefore w:val="0"/>
        <w:kinsoku/>
        <w:wordWrap/>
        <w:overflowPunct/>
        <w:topLinePunct w:val="0"/>
        <w:autoSpaceDE/>
        <w:autoSpaceDN/>
        <w:bidi w:val="0"/>
        <w:adjustRightInd/>
        <w:snapToGrid/>
        <w:spacing w:line="360" w:lineRule="auto"/>
        <w:ind w:firstLine="640"/>
        <w:textAlignment w:val="auto"/>
        <w:rPr>
          <w:rFonts w:hint="default" w:eastAsia="仿宋"/>
          <w:lang w:val="en-US" w:eastAsia="zh-CN"/>
        </w:rPr>
      </w:pPr>
      <w:r>
        <w:rPr>
          <w:rFonts w:hint="eastAsia"/>
        </w:rPr>
        <w:t>（2）</w:t>
      </w:r>
      <w:r>
        <w:rPr>
          <w:rFonts w:hint="eastAsia"/>
          <w:lang w:val="en-US" w:eastAsia="zh-CN"/>
        </w:rPr>
        <w:t>绩效考核频率未达到目标值</w:t>
      </w:r>
      <w:r>
        <w:rPr>
          <w:rFonts w:hint="eastAsia"/>
        </w:rPr>
        <w:t>。</w:t>
      </w:r>
      <w:bookmarkStart w:id="25" w:name="_Toc10441"/>
      <w:bookmarkStart w:id="26" w:name="_Toc9638"/>
      <w:bookmarkStart w:id="27" w:name="_Toc11879"/>
      <w:bookmarkStart w:id="28" w:name="_Toc8732"/>
      <w:r>
        <w:rPr>
          <w:rFonts w:hint="eastAsia"/>
          <w:lang w:val="en-US" w:eastAsia="zh-CN"/>
        </w:rPr>
        <w:t>借用人员的考核未达到每月一次，需进一步加强考核。</w:t>
      </w:r>
    </w:p>
    <w:p>
      <w:pPr>
        <w:pStyle w:val="4"/>
        <w:pageBreakBefore w:val="0"/>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hint="eastAsia" w:ascii="Times New Roman" w:hAnsi="Times New Roman" w:eastAsia="楷体" w:cs="Times New Roman"/>
        </w:rPr>
      </w:pPr>
      <w:r>
        <w:rPr>
          <w:rFonts w:hint="eastAsia" w:ascii="Times New Roman" w:hAnsi="Times New Roman" w:eastAsia="楷体" w:cs="Times New Roman"/>
        </w:rPr>
        <w:t>（四）下一步拟改进措施</w:t>
      </w:r>
      <w:bookmarkEnd w:id="25"/>
      <w:bookmarkEnd w:id="26"/>
      <w:bookmarkEnd w:id="27"/>
      <w:bookmarkEnd w:id="28"/>
    </w:p>
    <w:p>
      <w:pPr>
        <w:pageBreakBefore w:val="0"/>
        <w:widowControl/>
        <w:kinsoku/>
        <w:wordWrap/>
        <w:overflowPunct/>
        <w:topLinePunct w:val="0"/>
        <w:autoSpaceDE/>
        <w:autoSpaceDN/>
        <w:bidi w:val="0"/>
        <w:adjustRightInd/>
        <w:snapToGrid/>
        <w:spacing w:line="360" w:lineRule="auto"/>
        <w:ind w:firstLine="640"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1.下一步拟改进措施</w:t>
      </w:r>
    </w:p>
    <w:p>
      <w:pPr>
        <w:pageBreakBefore w:val="0"/>
        <w:kinsoku/>
        <w:wordWrap/>
        <w:overflowPunct/>
        <w:topLinePunct w:val="0"/>
        <w:autoSpaceDE/>
        <w:autoSpaceDN/>
        <w:bidi w:val="0"/>
        <w:adjustRightInd/>
        <w:snapToGrid/>
        <w:spacing w:line="360" w:lineRule="auto"/>
        <w:ind w:firstLine="640"/>
        <w:textAlignment w:val="auto"/>
        <w:rPr>
          <w:rFonts w:hint="default" w:eastAsia="仿宋"/>
          <w:szCs w:val="32"/>
          <w:lang w:val="en-US" w:eastAsia="zh-CN"/>
        </w:rPr>
      </w:pPr>
      <w:r>
        <w:rPr>
          <w:rFonts w:hint="eastAsia" w:eastAsia="仿宋"/>
          <w:color w:val="000000" w:themeColor="text1"/>
          <w:sz w:val="32"/>
          <w:szCs w:val="32"/>
          <w14:textFill>
            <w14:solidFill>
              <w14:schemeClr w14:val="tx1"/>
            </w14:solidFill>
          </w14:textFill>
        </w:rPr>
        <w:t>（1）</w:t>
      </w:r>
      <w:r>
        <w:rPr>
          <w:rFonts w:hint="eastAsia"/>
          <w:szCs w:val="32"/>
          <w:lang w:val="en-US" w:eastAsia="zh-CN"/>
        </w:rPr>
        <w:t>按照新的机构设置，重新梳理岗位需求，保障人员配置，做好来年预算。同时加强人员的培训和考核，为政务服务工作正常运转提供保障。</w:t>
      </w:r>
    </w:p>
    <w:p>
      <w:pPr>
        <w:pageBreakBefore w:val="0"/>
        <w:kinsoku/>
        <w:wordWrap/>
        <w:overflowPunct/>
        <w:topLinePunct w:val="0"/>
        <w:autoSpaceDE/>
        <w:autoSpaceDN/>
        <w:bidi w:val="0"/>
        <w:adjustRightInd/>
        <w:snapToGrid/>
        <w:spacing w:line="360" w:lineRule="auto"/>
        <w:ind w:firstLine="640"/>
        <w:textAlignment w:val="auto"/>
        <w:rPr>
          <w:rFonts w:hint="default" w:eastAsia="仿宋"/>
          <w:szCs w:val="32"/>
          <w:lang w:val="en-US" w:eastAsia="zh-CN"/>
        </w:rPr>
      </w:pPr>
      <w:r>
        <w:rPr>
          <w:rFonts w:hint="eastAsia" w:eastAsia="仿宋"/>
          <w:color w:val="000000" w:themeColor="text1"/>
          <w:sz w:val="32"/>
          <w:szCs w:val="32"/>
          <w14:textFill>
            <w14:solidFill>
              <w14:schemeClr w14:val="tx1"/>
            </w14:solidFill>
          </w14:textFill>
        </w:rPr>
        <w:t>（2）</w:t>
      </w:r>
      <w:r>
        <w:rPr>
          <w:rFonts w:hint="eastAsia"/>
          <w:szCs w:val="32"/>
          <w:lang w:val="en-US" w:eastAsia="zh-CN"/>
        </w:rPr>
        <w:t>提高绩效考核频率，加强月度考核制度的执行，完善绩效奖励机制。</w:t>
      </w:r>
    </w:p>
    <w:p>
      <w:pPr>
        <w:pageBreakBefore w:val="0"/>
        <w:widowControl/>
        <w:kinsoku/>
        <w:wordWrap/>
        <w:overflowPunct/>
        <w:topLinePunct w:val="0"/>
        <w:autoSpaceDE/>
        <w:autoSpaceDN/>
        <w:bidi w:val="0"/>
        <w:adjustRightInd/>
        <w:snapToGrid/>
        <w:spacing w:line="360" w:lineRule="auto"/>
        <w:ind w:firstLine="640"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2.拟与预算安排相结合情况</w:t>
      </w:r>
    </w:p>
    <w:p>
      <w:pPr>
        <w:pageBreakBefore w:val="0"/>
        <w:kinsoku/>
        <w:wordWrap/>
        <w:overflowPunct/>
        <w:topLinePunct w:val="0"/>
        <w:autoSpaceDE/>
        <w:autoSpaceDN/>
        <w:bidi w:val="0"/>
        <w:adjustRightInd/>
        <w:snapToGrid/>
        <w:spacing w:line="360" w:lineRule="auto"/>
        <w:ind w:firstLine="640"/>
        <w:textAlignment w:val="auto"/>
        <w:rPr>
          <w:rFonts w:hint="eastAsia"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w:t>
      </w:r>
      <w:r>
        <w:rPr>
          <w:rFonts w:hint="eastAsia"/>
          <w:color w:val="000000" w:themeColor="text1"/>
          <w:sz w:val="32"/>
          <w:szCs w:val="32"/>
          <w:lang w:val="en-US" w:eastAsia="zh-CN"/>
          <w14:textFill>
            <w14:solidFill>
              <w14:schemeClr w14:val="tx1"/>
            </w14:solidFill>
          </w14:textFill>
        </w:rPr>
        <w:t>资金有一定结余，在来年进行预算申报或预算调整时，将按照实际人员岗位需求，配置薪酬，结合工作计划安全，准确测算项目资金，提高财政资金使用效率</w:t>
      </w:r>
      <w:r>
        <w:rPr>
          <w:rFonts w:hint="eastAsia" w:eastAsia="仿宋"/>
          <w:color w:val="000000" w:themeColor="text1"/>
          <w:sz w:val="32"/>
          <w:szCs w:val="32"/>
          <w14:textFill>
            <w14:solidFill>
              <w14:schemeClr w14:val="tx1"/>
            </w14:solidFill>
          </w14:textFill>
        </w:rPr>
        <w:t>。</w:t>
      </w:r>
    </w:p>
    <w:p>
      <w:pPr>
        <w:pStyle w:val="2"/>
        <w:rPr>
          <w:rFonts w:hint="eastAsia"/>
        </w:rPr>
      </w:pPr>
    </w:p>
    <w:p>
      <w:pPr>
        <w:ind w:firstLine="640"/>
      </w:pPr>
      <w:r>
        <w:rPr>
          <w:rFonts w:hint="eastAsia"/>
          <w:bCs/>
          <w:szCs w:val="32"/>
        </w:rPr>
        <w:t>附件：202</w:t>
      </w:r>
      <w:r>
        <w:rPr>
          <w:rFonts w:hint="eastAsia"/>
          <w:bCs/>
          <w:szCs w:val="32"/>
          <w:lang w:val="en-US" w:eastAsia="zh-CN"/>
        </w:rPr>
        <w:t>2</w:t>
      </w:r>
      <w:r>
        <w:rPr>
          <w:rFonts w:hint="eastAsia"/>
          <w:bCs/>
          <w:szCs w:val="32"/>
        </w:rPr>
        <w:t>年度建设（交通）政务服务专项经费自评表</w:t>
      </w:r>
    </w:p>
    <w:p>
      <w:pPr>
        <w:ind w:firstLineChars="175"/>
        <w:rPr>
          <w:rFonts w:eastAsia="楷体" w:cs="Times New Roman"/>
        </w:rPr>
      </w:pPr>
      <w:r>
        <w:rPr>
          <w:rFonts w:hint="eastAsia" w:cs="Times New Roman"/>
          <w:color w:val="auto"/>
          <w:kern w:val="0"/>
          <w:szCs w:val="32"/>
        </w:rPr>
        <w:br w:type="page"/>
      </w:r>
      <w:bookmarkStart w:id="29" w:name="_Toc3349"/>
      <w:bookmarkStart w:id="30" w:name="_Toc16053"/>
      <w:bookmarkStart w:id="31" w:name="_Toc11755"/>
      <w:bookmarkStart w:id="32" w:name="_Toc29700"/>
      <w:r>
        <w:rPr>
          <w:rFonts w:hint="eastAsia" w:eastAsia="楷体" w:cs="Times New Roman"/>
        </w:rPr>
        <w:t>附件：</w:t>
      </w:r>
    </w:p>
    <w:tbl>
      <w:tblPr>
        <w:tblStyle w:val="28"/>
        <w:tblW w:w="5000" w:type="pct"/>
        <w:tblInd w:w="0" w:type="dxa"/>
        <w:tblLayout w:type="autofit"/>
        <w:tblCellMar>
          <w:top w:w="0" w:type="dxa"/>
          <w:left w:w="108" w:type="dxa"/>
          <w:bottom w:w="0" w:type="dxa"/>
          <w:right w:w="108" w:type="dxa"/>
        </w:tblCellMar>
      </w:tblPr>
      <w:tblGrid>
        <w:gridCol w:w="528"/>
        <w:gridCol w:w="958"/>
        <w:gridCol w:w="1275"/>
        <w:gridCol w:w="1691"/>
        <w:gridCol w:w="1439"/>
        <w:gridCol w:w="2102"/>
        <w:gridCol w:w="1067"/>
      </w:tblGrid>
      <w:tr>
        <w:tblPrEx>
          <w:tblCellMar>
            <w:top w:w="0" w:type="dxa"/>
            <w:left w:w="108" w:type="dxa"/>
            <w:bottom w:w="0" w:type="dxa"/>
            <w:right w:w="108" w:type="dxa"/>
          </w:tblCellMar>
        </w:tblPrEx>
        <w:trPr>
          <w:trHeight w:val="600" w:hRule="atLeast"/>
        </w:trPr>
        <w:tc>
          <w:tcPr>
            <w:tcW w:w="5000" w:type="pct"/>
            <w:gridSpan w:val="7"/>
            <w:tcBorders>
              <w:top w:val="nil"/>
              <w:left w:val="nil"/>
              <w:bottom w:val="nil"/>
              <w:right w:val="nil"/>
            </w:tcBorders>
            <w:shd w:val="clear" w:color="auto" w:fill="auto"/>
            <w:vAlign w:val="center"/>
          </w:tcPr>
          <w:p>
            <w:pPr>
              <w:widowControl/>
              <w:spacing w:line="240" w:lineRule="auto"/>
              <w:ind w:firstLine="0" w:firstLineChars="0"/>
              <w:jc w:val="center"/>
              <w:rPr>
                <w:rFonts w:ascii="仿宋" w:hAnsi="仿宋"/>
                <w:b/>
                <w:bCs/>
                <w:kern w:val="0"/>
                <w:szCs w:val="32"/>
              </w:rPr>
            </w:pPr>
            <w:r>
              <w:rPr>
                <w:rFonts w:hint="eastAsia" w:ascii="仿宋" w:hAnsi="仿宋"/>
                <w:b/>
                <w:bCs/>
                <w:kern w:val="0"/>
                <w:szCs w:val="32"/>
              </w:rPr>
              <w:t xml:space="preserve">2022年度建设（交通）政务服务专项经费项目自评表 </w:t>
            </w:r>
          </w:p>
        </w:tc>
      </w:tr>
      <w:tr>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单位名称：武汉经济技术开发区（汉南区）住房和城乡建设局                         </w:t>
            </w:r>
          </w:p>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w:t>
            </w:r>
            <w:r>
              <w:rPr>
                <w:rFonts w:ascii="仿宋" w:hAnsi="仿宋"/>
                <w:kern w:val="0"/>
                <w:sz w:val="20"/>
                <w:szCs w:val="20"/>
              </w:rPr>
              <w:t>3</w:t>
            </w:r>
            <w:r>
              <w:rPr>
                <w:rFonts w:hint="eastAsia" w:ascii="仿宋" w:hAnsi="仿宋"/>
                <w:kern w:val="0"/>
                <w:sz w:val="20"/>
                <w:szCs w:val="20"/>
              </w:rPr>
              <w:t>年</w:t>
            </w:r>
            <w:r>
              <w:rPr>
                <w:rFonts w:ascii="仿宋" w:hAnsi="仿宋"/>
                <w:kern w:val="0"/>
                <w:sz w:val="20"/>
                <w:szCs w:val="20"/>
              </w:rPr>
              <w:t>4</w:t>
            </w:r>
            <w:r>
              <w:rPr>
                <w:rFonts w:hint="eastAsia" w:ascii="仿宋" w:hAnsi="仿宋"/>
                <w:kern w:val="0"/>
                <w:sz w:val="20"/>
                <w:szCs w:val="20"/>
              </w:rPr>
              <w:t>月</w:t>
            </w:r>
            <w:r>
              <w:rPr>
                <w:rFonts w:ascii="仿宋" w:hAnsi="仿宋"/>
                <w:kern w:val="0"/>
                <w:sz w:val="20"/>
                <w:szCs w:val="20"/>
              </w:rPr>
              <w:t>2</w:t>
            </w:r>
            <w:r>
              <w:rPr>
                <w:rFonts w:hint="eastAsia" w:ascii="仿宋" w:hAnsi="仿宋"/>
                <w:kern w:val="0"/>
                <w:sz w:val="20"/>
                <w:szCs w:val="20"/>
              </w:rPr>
              <w:t>0日</w:t>
            </w:r>
          </w:p>
        </w:tc>
      </w:tr>
      <w:tr>
        <w:tblPrEx>
          <w:tblCellMar>
            <w:top w:w="0" w:type="dxa"/>
            <w:left w:w="108" w:type="dxa"/>
            <w:bottom w:w="0" w:type="dxa"/>
            <w:right w:w="108" w:type="dxa"/>
          </w:tblCellMar>
        </w:tblPrEx>
        <w:trPr>
          <w:trHeight w:val="420" w:hRule="atLeast"/>
        </w:trPr>
        <w:tc>
          <w:tcPr>
            <w:tcW w:w="8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179"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建设（交通）政务服务专项经费</w:t>
            </w:r>
          </w:p>
        </w:tc>
      </w:tr>
      <w:tr>
        <w:tblPrEx>
          <w:tblCellMar>
            <w:top w:w="0" w:type="dxa"/>
            <w:left w:w="108" w:type="dxa"/>
            <w:bottom w:w="0" w:type="dxa"/>
            <w:right w:w="108" w:type="dxa"/>
          </w:tblCellMar>
        </w:tblPrEx>
        <w:trPr>
          <w:trHeight w:val="720" w:hRule="atLeast"/>
        </w:trPr>
        <w:tc>
          <w:tcPr>
            <w:tcW w:w="8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1637"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武汉经济技术开发区（汉南区）住房和城乡建设局</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747"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sz w:val="20"/>
                <w:szCs w:val="20"/>
              </w:rPr>
              <w:t>住建局本级</w:t>
            </w:r>
          </w:p>
        </w:tc>
      </w:tr>
      <w:tr>
        <w:tblPrEx>
          <w:tblCellMar>
            <w:top w:w="0" w:type="dxa"/>
            <w:left w:w="108" w:type="dxa"/>
            <w:bottom w:w="0" w:type="dxa"/>
            <w:right w:w="108" w:type="dxa"/>
          </w:tblCellMar>
        </w:tblPrEx>
        <w:trPr>
          <w:trHeight w:val="720" w:hRule="atLeast"/>
        </w:trPr>
        <w:tc>
          <w:tcPr>
            <w:tcW w:w="82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17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1.部门预算项目    </w:t>
            </w:r>
            <w:r>
              <w:rPr>
                <w:rFonts w:ascii="Wingdings" w:hAnsi="Wingdings"/>
                <w:kern w:val="0"/>
                <w:sz w:val="20"/>
                <w:szCs w:val="20"/>
              </w:rPr>
              <w:t>þ</w:t>
            </w:r>
            <w:r>
              <w:rPr>
                <w:rFonts w:hint="eastAsia" w:ascii="仿宋" w:hAnsi="仿宋"/>
                <w:kern w:val="0"/>
                <w:sz w:val="20"/>
                <w:szCs w:val="20"/>
              </w:rPr>
              <w:t xml:space="preserve">           2.财政专项资金   □</w:t>
            </w:r>
          </w:p>
        </w:tc>
      </w:tr>
      <w:tr>
        <w:tblPrEx>
          <w:tblCellMar>
            <w:top w:w="0" w:type="dxa"/>
            <w:left w:w="108" w:type="dxa"/>
            <w:bottom w:w="0" w:type="dxa"/>
            <w:right w:w="108" w:type="dxa"/>
          </w:tblCellMar>
        </w:tblPrEx>
        <w:trPr>
          <w:trHeight w:val="720" w:hRule="atLeast"/>
        </w:trPr>
        <w:tc>
          <w:tcPr>
            <w:tcW w:w="82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17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tblPrEx>
          <w:tblCellMar>
            <w:top w:w="0" w:type="dxa"/>
            <w:left w:w="108" w:type="dxa"/>
            <w:bottom w:w="0" w:type="dxa"/>
            <w:right w:w="108" w:type="dxa"/>
          </w:tblCellMar>
        </w:tblPrEx>
        <w:trPr>
          <w:trHeight w:val="720" w:hRule="atLeast"/>
        </w:trPr>
        <w:tc>
          <w:tcPr>
            <w:tcW w:w="82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17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w:t>
            </w:r>
            <w:r>
              <w:rPr>
                <w:rFonts w:ascii="Wingdings" w:hAnsi="Wingdings"/>
                <w:kern w:val="0"/>
                <w:sz w:val="20"/>
                <w:szCs w:val="20"/>
              </w:rPr>
              <w:t>þ</w:t>
            </w:r>
            <w:r>
              <w:rPr>
                <w:rFonts w:hint="eastAsia" w:ascii="仿宋" w:hAnsi="仿宋"/>
                <w:kern w:val="0"/>
                <w:sz w:val="20"/>
                <w:szCs w:val="20"/>
              </w:rPr>
              <w:t xml:space="preserve">           2.延续性项目     □     3.一次性项目    □</w:t>
            </w:r>
          </w:p>
        </w:tc>
      </w:tr>
      <w:tr>
        <w:tblPrEx>
          <w:tblCellMar>
            <w:top w:w="0" w:type="dxa"/>
            <w:left w:w="108" w:type="dxa"/>
            <w:bottom w:w="0" w:type="dxa"/>
            <w:right w:w="108" w:type="dxa"/>
          </w:tblCellMar>
        </w:tblPrEx>
        <w:trPr>
          <w:trHeight w:val="705" w:hRule="atLeast"/>
        </w:trPr>
        <w:tc>
          <w:tcPr>
            <w:tcW w:w="8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预算执行情况</w:t>
            </w:r>
            <w:r>
              <w:rPr>
                <w:rFonts w:hint="eastAsia" w:ascii="仿宋" w:hAnsi="仿宋"/>
                <w:kern w:val="0"/>
                <w:sz w:val="20"/>
                <w:szCs w:val="20"/>
              </w:rPr>
              <w:br w:type="textWrapping"/>
            </w:r>
            <w:r>
              <w:rPr>
                <w:rFonts w:hint="eastAsia" w:ascii="仿宋" w:hAnsi="仿宋"/>
                <w:kern w:val="0"/>
                <w:sz w:val="20"/>
                <w:szCs w:val="20"/>
              </w:rPr>
              <w:t>（万元）</w:t>
            </w:r>
            <w:r>
              <w:rPr>
                <w:rFonts w:hint="eastAsia" w:ascii="仿宋" w:hAnsi="仿宋"/>
                <w:kern w:val="0"/>
                <w:sz w:val="20"/>
                <w:szCs w:val="20"/>
              </w:rPr>
              <w:br w:type="textWrapping"/>
            </w:r>
            <w:r>
              <w:rPr>
                <w:rFonts w:hint="eastAsia" w:ascii="仿宋" w:hAnsi="仿宋"/>
                <w:kern w:val="0"/>
                <w:sz w:val="20"/>
                <w:szCs w:val="20"/>
              </w:rPr>
              <w:t>（20分）</w:t>
            </w:r>
          </w:p>
        </w:tc>
        <w:tc>
          <w:tcPr>
            <w:tcW w:w="704" w:type="pct"/>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116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(20分*</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w:t>
            </w:r>
          </w:p>
        </w:tc>
      </w:tr>
      <w:tr>
        <w:tblPrEx>
          <w:tblCellMar>
            <w:top w:w="0" w:type="dxa"/>
            <w:left w:w="108" w:type="dxa"/>
            <w:bottom w:w="0" w:type="dxa"/>
            <w:right w:w="108" w:type="dxa"/>
          </w:tblCellMar>
        </w:tblPrEx>
        <w:trPr>
          <w:trHeight w:val="525" w:hRule="atLeast"/>
        </w:trPr>
        <w:tc>
          <w:tcPr>
            <w:tcW w:w="82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704"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326.25</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8</w:t>
            </w:r>
            <w:r>
              <w:rPr>
                <w:rFonts w:ascii="仿宋" w:hAnsi="仿宋"/>
                <w:kern w:val="0"/>
                <w:sz w:val="20"/>
                <w:szCs w:val="20"/>
              </w:rPr>
              <w:t>38.50</w:t>
            </w:r>
          </w:p>
        </w:tc>
        <w:tc>
          <w:tcPr>
            <w:tcW w:w="116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6</w:t>
            </w:r>
            <w:r>
              <w:rPr>
                <w:rFonts w:ascii="仿宋" w:hAnsi="仿宋"/>
                <w:kern w:val="0"/>
                <w:sz w:val="20"/>
                <w:szCs w:val="20"/>
              </w:rPr>
              <w:t>3.22</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2.64</w:t>
            </w:r>
          </w:p>
        </w:tc>
      </w:tr>
      <w:tr>
        <w:tblPrEx>
          <w:tblCellMar>
            <w:top w:w="0" w:type="dxa"/>
            <w:left w:w="108" w:type="dxa"/>
            <w:bottom w:w="0" w:type="dxa"/>
            <w:right w:w="108" w:type="dxa"/>
          </w:tblCellMar>
        </w:tblPrEx>
        <w:trPr>
          <w:trHeight w:val="720" w:hRule="atLeast"/>
        </w:trPr>
        <w:tc>
          <w:tcPr>
            <w:tcW w:w="291"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52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一级</w:t>
            </w:r>
            <w:r>
              <w:rPr>
                <w:rFonts w:hint="eastAsia" w:ascii="仿宋" w:hAnsi="仿宋"/>
                <w:kern w:val="0"/>
                <w:sz w:val="20"/>
                <w:szCs w:val="20"/>
              </w:rPr>
              <w:br w:type="textWrapping"/>
            </w:r>
            <w:r>
              <w:rPr>
                <w:rFonts w:hint="eastAsia" w:ascii="仿宋" w:hAnsi="仿宋"/>
                <w:kern w:val="0"/>
                <w:sz w:val="20"/>
                <w:szCs w:val="20"/>
              </w:rPr>
              <w:t>指标</w:t>
            </w:r>
          </w:p>
        </w:tc>
        <w:tc>
          <w:tcPr>
            <w:tcW w:w="704"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116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restart"/>
            <w:tcBorders>
              <w:top w:val="nil"/>
              <w:left w:val="single" w:color="auto" w:sz="4" w:space="0"/>
              <w:bottom w:val="nil"/>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产出指标</w:t>
            </w:r>
            <w:r>
              <w:rPr>
                <w:rFonts w:hint="eastAsia" w:ascii="仿宋" w:hAnsi="仿宋"/>
                <w:kern w:val="0"/>
                <w:sz w:val="20"/>
                <w:szCs w:val="20"/>
              </w:rPr>
              <w:br w:type="textWrapping"/>
            </w:r>
            <w:r>
              <w:rPr>
                <w:rFonts w:hint="eastAsia" w:ascii="仿宋" w:hAnsi="仿宋"/>
                <w:kern w:val="0"/>
                <w:sz w:val="20"/>
                <w:szCs w:val="20"/>
              </w:rPr>
              <w:t>（40分）</w:t>
            </w:r>
          </w:p>
        </w:tc>
        <w:tc>
          <w:tcPr>
            <w:tcW w:w="704" w:type="pct"/>
            <w:vMerge w:val="restart"/>
            <w:tcBorders>
              <w:top w:val="nil"/>
              <w:left w:val="nil"/>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16</w:t>
            </w:r>
            <w:r>
              <w:rPr>
                <w:rFonts w:hint="eastAsia" w:ascii="仿宋" w:hAnsi="仿宋"/>
                <w:kern w:val="0"/>
                <w:sz w:val="20"/>
                <w:szCs w:val="20"/>
              </w:rPr>
              <w:t>分）</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sz w:val="20"/>
                <w:szCs w:val="20"/>
              </w:rPr>
              <w:t>借用、聘用人员出勤到位率</w:t>
            </w:r>
            <w:r>
              <w:rPr>
                <w:rFonts w:hint="eastAsia"/>
                <w:sz w:val="20"/>
                <w:szCs w:val="20"/>
                <w:lang w:val="en-US" w:eastAsia="zh-CN"/>
              </w:rPr>
              <w:t xml:space="preserve"> </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8</w:t>
            </w:r>
            <w:r>
              <w:rPr>
                <w:rFonts w:hint="eastAsia" w:ascii="仿宋" w:hAnsi="仿宋"/>
                <w:kern w:val="0"/>
                <w:sz w:val="20"/>
                <w:szCs w:val="20"/>
              </w:rPr>
              <w:t>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sz w:val="20"/>
                <w:szCs w:val="20"/>
              </w:rPr>
              <w:t>95个服务岗位</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rFonts w:hint="eastAsia"/>
                <w:sz w:val="20"/>
                <w:szCs w:val="20"/>
                <w:lang w:val="en-US" w:eastAsia="zh-CN"/>
              </w:rPr>
              <w:t>全年聘用人员</w:t>
            </w:r>
            <w:r>
              <w:rPr>
                <w:sz w:val="20"/>
                <w:szCs w:val="20"/>
              </w:rPr>
              <w:t>到岗</w:t>
            </w:r>
            <w:r>
              <w:rPr>
                <w:rFonts w:hint="eastAsia"/>
                <w:sz w:val="20"/>
                <w:szCs w:val="20"/>
                <w:lang w:val="en-US" w:eastAsia="zh-CN"/>
              </w:rPr>
              <w:t>平均54</w:t>
            </w:r>
            <w:r>
              <w:rPr>
                <w:sz w:val="20"/>
                <w:szCs w:val="20"/>
              </w:rPr>
              <w:t>人</w:t>
            </w:r>
            <w:r>
              <w:rPr>
                <w:rFonts w:hint="eastAsia"/>
                <w:sz w:val="20"/>
                <w:szCs w:val="20"/>
                <w:lang w:val="en-US" w:eastAsia="zh-CN"/>
              </w:rPr>
              <w:t>/月，借用人员到岗平均19</w:t>
            </w:r>
            <w:r>
              <w:rPr>
                <w:sz w:val="20"/>
                <w:szCs w:val="20"/>
              </w:rPr>
              <w:t>人</w:t>
            </w:r>
            <w:r>
              <w:rPr>
                <w:rFonts w:hint="eastAsia"/>
                <w:sz w:val="20"/>
                <w:szCs w:val="20"/>
                <w:lang w:val="en-US" w:eastAsia="zh-CN"/>
              </w:rPr>
              <w:t>/月，</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sz w:val="20"/>
                <w:szCs w:val="20"/>
                <w:lang w:val="en-US" w:eastAsia="zh-CN"/>
              </w:rPr>
              <w:t>合计到岗73人/月</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6</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704" w:type="pct"/>
            <w:vMerge w:val="continue"/>
            <w:tcBorders>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rFonts w:hint="eastAsia"/>
                <w:sz w:val="20"/>
                <w:szCs w:val="20"/>
                <w:lang w:val="en-US" w:eastAsia="zh-CN"/>
              </w:rPr>
              <w:t xml:space="preserve">绩效考核频率 </w:t>
            </w:r>
          </w:p>
          <w:p>
            <w:pPr>
              <w:widowControl/>
              <w:spacing w:line="240" w:lineRule="auto"/>
              <w:ind w:firstLine="0" w:firstLineChars="0"/>
              <w:jc w:val="center"/>
              <w:rPr>
                <w:rFonts w:hint="default"/>
                <w:lang w:val="en-US" w:eastAsia="zh-CN"/>
              </w:rPr>
            </w:pPr>
            <w:r>
              <w:rPr>
                <w:rFonts w:hint="eastAsia"/>
                <w:sz w:val="20"/>
                <w:szCs w:val="20"/>
              </w:rPr>
              <w:t>（</w:t>
            </w:r>
            <w:r>
              <w:rPr>
                <w:rFonts w:hint="eastAsia"/>
                <w:sz w:val="20"/>
                <w:szCs w:val="20"/>
                <w:lang w:val="en-US" w:eastAsia="zh-CN"/>
              </w:rPr>
              <w:t>8</w:t>
            </w:r>
            <w:r>
              <w:rPr>
                <w:rFonts w:hint="eastAsia"/>
                <w:sz w:val="20"/>
                <w:szCs w:val="20"/>
              </w:rPr>
              <w:t>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sz w:val="20"/>
                <w:szCs w:val="20"/>
              </w:rPr>
            </w:pPr>
            <w:r>
              <w:rPr>
                <w:sz w:val="20"/>
                <w:szCs w:val="20"/>
              </w:rPr>
              <w:t>1月/次</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sz w:val="20"/>
                <w:szCs w:val="20"/>
                <w:lang w:val="en-US"/>
              </w:rPr>
            </w:pPr>
            <w:r>
              <w:rPr>
                <w:rFonts w:hint="eastAsia"/>
                <w:sz w:val="20"/>
                <w:szCs w:val="20"/>
                <w:lang w:val="en-US" w:eastAsia="zh-CN"/>
              </w:rPr>
              <w:t>政务外包考核频率1次/月，借用人员考勤1年/次</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6</w:t>
            </w:r>
          </w:p>
        </w:tc>
      </w:tr>
      <w:tr>
        <w:tblPrEx>
          <w:tblCellMar>
            <w:top w:w="0" w:type="dxa"/>
            <w:left w:w="108" w:type="dxa"/>
            <w:bottom w:w="0" w:type="dxa"/>
            <w:right w:w="108" w:type="dxa"/>
          </w:tblCellMar>
        </w:tblPrEx>
        <w:trPr>
          <w:trHeight w:val="537"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704" w:type="pct"/>
            <w:vMerge w:val="restart"/>
            <w:tcBorders>
              <w:top w:val="nil"/>
              <w:left w:val="nil"/>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16</w:t>
            </w:r>
            <w:r>
              <w:rPr>
                <w:rFonts w:hint="eastAsia" w:ascii="仿宋" w:hAnsi="仿宋"/>
                <w:kern w:val="0"/>
                <w:sz w:val="20"/>
                <w:szCs w:val="20"/>
              </w:rPr>
              <w:t>分）</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lang w:val="en-US" w:eastAsia="zh-CN"/>
              </w:rPr>
            </w:pPr>
            <w:r>
              <w:rPr>
                <w:rFonts w:hint="eastAsia"/>
                <w:sz w:val="20"/>
                <w:szCs w:val="20"/>
                <w:lang w:val="en-US" w:eastAsia="zh-CN"/>
              </w:rPr>
              <w:t>绩效考核合格率</w:t>
            </w:r>
            <w:r>
              <w:rPr>
                <w:rFonts w:hint="eastAsia"/>
                <w:sz w:val="20"/>
                <w:szCs w:val="20"/>
              </w:rPr>
              <w:t>（</w:t>
            </w:r>
            <w:r>
              <w:rPr>
                <w:rFonts w:hint="eastAsia"/>
                <w:sz w:val="20"/>
                <w:szCs w:val="20"/>
                <w:lang w:val="en-US" w:eastAsia="zh-CN"/>
              </w:rPr>
              <w:t>8</w:t>
            </w:r>
            <w:r>
              <w:rPr>
                <w:rFonts w:hint="eastAsia"/>
                <w:sz w:val="20"/>
                <w:szCs w:val="20"/>
              </w:rPr>
              <w:t>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sz w:val="20"/>
                <w:szCs w:val="20"/>
              </w:rPr>
            </w:pPr>
            <w:r>
              <w:rPr>
                <w:rFonts w:hint="eastAsia"/>
                <w:sz w:val="20"/>
                <w:szCs w:val="20"/>
                <w:lang w:val="en-US" w:eastAsia="zh-CN"/>
              </w:rPr>
              <w:t>≥</w:t>
            </w:r>
            <w:r>
              <w:rPr>
                <w:sz w:val="20"/>
                <w:szCs w:val="20"/>
              </w:rPr>
              <w:t>95%</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8</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704" w:type="pct"/>
            <w:vMerge w:val="continue"/>
            <w:tcBorders>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rFonts w:hint="eastAsia"/>
                <w:sz w:val="20"/>
                <w:szCs w:val="20"/>
                <w:lang w:val="en-US" w:eastAsia="zh-CN"/>
              </w:rPr>
              <w:t>绩效考核优秀率</w:t>
            </w:r>
          </w:p>
          <w:p>
            <w:pPr>
              <w:widowControl/>
              <w:spacing w:line="240" w:lineRule="auto"/>
              <w:ind w:firstLine="0" w:firstLineChars="0"/>
              <w:jc w:val="center"/>
              <w:rPr>
                <w:rFonts w:hint="default"/>
                <w:lang w:val="en-US" w:eastAsia="zh-CN"/>
              </w:rPr>
            </w:pPr>
            <w:r>
              <w:rPr>
                <w:rFonts w:hint="eastAsia"/>
                <w:sz w:val="20"/>
                <w:szCs w:val="20"/>
                <w:lang w:val="en-US" w:eastAsia="zh-CN"/>
              </w:rPr>
              <w:t>（8分）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sz w:val="20"/>
                <w:szCs w:val="20"/>
                <w:lang w:val="en-US" w:eastAsia="zh-CN"/>
              </w:rPr>
            </w:pPr>
            <w:r>
              <w:rPr>
                <w:rFonts w:hint="eastAsia"/>
                <w:sz w:val="20"/>
                <w:szCs w:val="20"/>
                <w:lang w:val="en-US" w:eastAsia="zh-CN"/>
              </w:rPr>
              <w:t>≥20%</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20%</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8</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704"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时效指标</w:t>
            </w:r>
          </w:p>
          <w:p>
            <w:pPr>
              <w:widowControl/>
              <w:spacing w:line="240" w:lineRule="auto"/>
              <w:ind w:firstLine="0" w:firstLineChars="0"/>
              <w:jc w:val="center"/>
            </w:pPr>
            <w:r>
              <w:rPr>
                <w:rFonts w:hint="eastAsia" w:ascii="仿宋" w:hAnsi="仿宋"/>
                <w:kern w:val="0"/>
                <w:sz w:val="20"/>
                <w:szCs w:val="20"/>
              </w:rPr>
              <w:t>（</w:t>
            </w:r>
            <w:r>
              <w:rPr>
                <w:rFonts w:hint="eastAsia" w:ascii="仿宋" w:hAnsi="仿宋"/>
                <w:kern w:val="0"/>
                <w:sz w:val="20"/>
                <w:szCs w:val="20"/>
                <w:lang w:val="en-US" w:eastAsia="zh-CN"/>
              </w:rPr>
              <w:t>8</w:t>
            </w:r>
            <w:r>
              <w:rPr>
                <w:rFonts w:hint="eastAsia" w:ascii="仿宋" w:hAnsi="仿宋"/>
                <w:kern w:val="0"/>
                <w:sz w:val="20"/>
                <w:szCs w:val="20"/>
              </w:rPr>
              <w:t>分）</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sz w:val="20"/>
                <w:szCs w:val="20"/>
              </w:rPr>
              <w:t>在</w:t>
            </w:r>
            <w:r>
              <w:rPr>
                <w:rFonts w:hint="eastAsia"/>
                <w:sz w:val="20"/>
                <w:szCs w:val="20"/>
                <w:lang w:val="en-US" w:eastAsia="zh-CN"/>
              </w:rPr>
              <w:t>规定时间内完成各项</w:t>
            </w:r>
            <w:r>
              <w:rPr>
                <w:sz w:val="20"/>
                <w:szCs w:val="20"/>
              </w:rPr>
              <w:t>工作</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sz w:val="20"/>
                <w:szCs w:val="20"/>
                <w:lang w:val="en-US" w:eastAsia="zh-CN"/>
              </w:rPr>
            </w:pPr>
            <w:r>
              <w:rPr>
                <w:rFonts w:hint="eastAsia"/>
                <w:sz w:val="20"/>
                <w:szCs w:val="20"/>
                <w:lang w:val="en-US" w:eastAsia="zh-CN"/>
              </w:rPr>
              <w:t>按时完成</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eastAsia="仿宋"/>
                <w:sz w:val="20"/>
                <w:szCs w:val="20"/>
                <w:lang w:val="en-US" w:eastAsia="zh-CN"/>
              </w:rPr>
            </w:pPr>
            <w:r>
              <w:rPr>
                <w:rFonts w:hint="eastAsia"/>
                <w:sz w:val="20"/>
                <w:szCs w:val="20"/>
                <w:lang w:val="en-US" w:eastAsia="zh-CN"/>
              </w:rPr>
              <w:t>按时完成</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8</w:t>
            </w:r>
          </w:p>
        </w:tc>
      </w:tr>
      <w:tr>
        <w:tblPrEx>
          <w:tblCellMar>
            <w:top w:w="0" w:type="dxa"/>
            <w:left w:w="108" w:type="dxa"/>
            <w:bottom w:w="0" w:type="dxa"/>
            <w:right w:w="108" w:type="dxa"/>
          </w:tblCellMar>
        </w:tblPrEx>
        <w:trPr>
          <w:trHeight w:val="294"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效益指标</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（30分）</w:t>
            </w:r>
          </w:p>
        </w:tc>
        <w:tc>
          <w:tcPr>
            <w:tcW w:w="704" w:type="pct"/>
            <w:vMerge w:val="restart"/>
            <w:tcBorders>
              <w:top w:val="nil"/>
              <w:left w:val="nil"/>
              <w:right w:val="single" w:color="auto" w:sz="4" w:space="0"/>
            </w:tcBorders>
            <w:shd w:val="clear" w:color="auto" w:fill="auto"/>
            <w:vAlign w:val="center"/>
          </w:tcPr>
          <w:p>
            <w:pPr>
              <w:widowControl/>
              <w:spacing w:line="240" w:lineRule="auto"/>
              <w:ind w:firstLine="0" w:firstLineChars="0"/>
              <w:jc w:val="center"/>
              <w:rPr>
                <w:sz w:val="20"/>
                <w:szCs w:val="20"/>
              </w:rPr>
            </w:pPr>
            <w:r>
              <w:rPr>
                <w:sz w:val="20"/>
                <w:szCs w:val="20"/>
              </w:rPr>
              <w:t>社会效益</w:t>
            </w:r>
          </w:p>
          <w:p>
            <w:pPr>
              <w:widowControl/>
              <w:spacing w:line="240" w:lineRule="auto"/>
              <w:ind w:firstLine="0" w:firstLineChars="0"/>
              <w:jc w:val="center"/>
              <w:rPr>
                <w:sz w:val="20"/>
                <w:szCs w:val="20"/>
              </w:rPr>
            </w:pPr>
            <w:r>
              <w:rPr>
                <w:sz w:val="20"/>
                <w:szCs w:val="20"/>
              </w:rPr>
              <w:t>指标</w:t>
            </w: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sz w:val="20"/>
                <w:szCs w:val="20"/>
                <w:lang w:val="en-US" w:eastAsia="zh-CN"/>
              </w:rPr>
            </w:pPr>
            <w:r>
              <w:rPr>
                <w:rFonts w:ascii="Times New Roman" w:hAnsi="Times New Roman" w:eastAsia="仿宋"/>
                <w:color w:val="000000"/>
                <w:kern w:val="2"/>
                <w:sz w:val="20"/>
                <w:szCs w:val="20"/>
                <w:lang w:val="en-US" w:eastAsia="zh-CN" w:bidi="ar-SA"/>
              </w:rPr>
              <w:t>推进城建交通重点项目工作全</w:t>
            </w:r>
            <w:r>
              <w:rPr>
                <w:sz w:val="20"/>
                <w:szCs w:val="20"/>
                <w:lang w:val="en-US" w:eastAsia="zh-CN"/>
              </w:rPr>
              <w:t>面完成</w:t>
            </w:r>
          </w:p>
          <w:p>
            <w:pPr>
              <w:widowControl/>
              <w:spacing w:line="240" w:lineRule="auto"/>
              <w:ind w:firstLine="0" w:firstLineChars="0"/>
              <w:jc w:val="center"/>
              <w:rPr>
                <w:rFonts w:ascii="Times New Roman" w:hAnsi="Times New Roman"/>
                <w:kern w:val="2"/>
                <w:sz w:val="20"/>
                <w:szCs w:val="20"/>
                <w:lang w:eastAsia="zh-CN"/>
              </w:rPr>
            </w:pPr>
            <w:r>
              <w:rPr>
                <w:rFonts w:hint="eastAsia"/>
                <w:sz w:val="20"/>
                <w:szCs w:val="20"/>
              </w:rPr>
              <w:t>（</w:t>
            </w:r>
            <w:r>
              <w:rPr>
                <w:rFonts w:hint="eastAsia"/>
                <w:sz w:val="20"/>
                <w:szCs w:val="20"/>
                <w:lang w:val="en-US" w:eastAsia="zh-CN"/>
              </w:rPr>
              <w:t>15</w:t>
            </w:r>
            <w:r>
              <w:rPr>
                <w:rFonts w:hint="eastAsia"/>
                <w:sz w:val="20"/>
                <w:szCs w:val="20"/>
              </w:rPr>
              <w:t>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有所推进</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有所推进</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15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704" w:type="pct"/>
            <w:vMerge w:val="continue"/>
            <w:tcBorders>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sz w:val="20"/>
                <w:szCs w:val="20"/>
              </w:rPr>
            </w:pPr>
          </w:p>
        </w:tc>
        <w:tc>
          <w:tcPr>
            <w:tcW w:w="9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sz w:val="20"/>
                <w:szCs w:val="20"/>
              </w:rPr>
            </w:pPr>
            <w:r>
              <w:rPr>
                <w:sz w:val="20"/>
                <w:szCs w:val="20"/>
              </w:rPr>
              <w:t>服务标准提升</w:t>
            </w:r>
            <w:r>
              <w:rPr>
                <w:rFonts w:hint="eastAsia"/>
                <w:sz w:val="20"/>
                <w:szCs w:val="20"/>
              </w:rPr>
              <w:t>（</w:t>
            </w:r>
            <w:r>
              <w:rPr>
                <w:rFonts w:hint="eastAsia"/>
                <w:sz w:val="20"/>
                <w:szCs w:val="20"/>
                <w:lang w:val="en-US" w:eastAsia="zh-CN"/>
              </w:rPr>
              <w:t>15</w:t>
            </w:r>
            <w:r>
              <w:rPr>
                <w:rFonts w:hint="eastAsia"/>
                <w:sz w:val="20"/>
                <w:szCs w:val="20"/>
              </w:rPr>
              <w:t>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宋体"/>
                <w:color w:val="000000"/>
                <w:kern w:val="2"/>
                <w:sz w:val="20"/>
                <w:szCs w:val="20"/>
                <w:lang w:val="en-US" w:eastAsia="zh-CN" w:bidi="ar-SA"/>
              </w:rPr>
            </w:pPr>
            <w:r>
              <w:rPr>
                <w:rFonts w:hint="eastAsia"/>
                <w:sz w:val="20"/>
                <w:szCs w:val="20"/>
                <w:lang w:val="en-US" w:eastAsia="zh-CN"/>
              </w:rPr>
              <w:t>有所提升</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sz w:val="20"/>
                <w:szCs w:val="20"/>
                <w:lang w:val="en-US" w:eastAsia="zh-CN"/>
              </w:rPr>
              <w:t>有所提升</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15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2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满意度指标</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（10分）</w:t>
            </w:r>
          </w:p>
        </w:tc>
        <w:tc>
          <w:tcPr>
            <w:tcW w:w="704"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社会公众或服务对象满意度指标</w:t>
            </w:r>
            <w:r>
              <w:rPr>
                <w:rFonts w:hint="eastAsia" w:ascii="仿宋" w:hAnsi="仿宋"/>
                <w:kern w:val="0"/>
                <w:sz w:val="20"/>
                <w:szCs w:val="20"/>
              </w:rPr>
              <w:br w:type="textWrapping"/>
            </w:r>
          </w:p>
        </w:tc>
        <w:tc>
          <w:tcPr>
            <w:tcW w:w="933"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sz w:val="20"/>
                <w:szCs w:val="20"/>
              </w:rPr>
              <w:t>社会公众满意度</w:t>
            </w:r>
            <w:r>
              <w:rPr>
                <w:rFonts w:hint="eastAsia" w:ascii="仿宋" w:hAnsi="仿宋"/>
                <w:kern w:val="0"/>
                <w:sz w:val="20"/>
                <w:szCs w:val="20"/>
              </w:rPr>
              <w:t>（10分）</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rFonts w:hint="eastAsia"/>
                <w:sz w:val="20"/>
                <w:szCs w:val="20"/>
                <w:lang w:val="en-US" w:eastAsia="zh-CN"/>
              </w:rPr>
              <w:t>≥95%</w:t>
            </w:r>
          </w:p>
        </w:tc>
        <w:tc>
          <w:tcPr>
            <w:tcW w:w="1160"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sz w:val="20"/>
                <w:szCs w:val="20"/>
                <w:lang w:val="en-US" w:eastAsia="zh-CN"/>
              </w:rPr>
            </w:pPr>
            <w:r>
              <w:rPr>
                <w:rFonts w:hint="eastAsia"/>
                <w:sz w:val="20"/>
                <w:szCs w:val="20"/>
                <w:lang w:val="en-US" w:eastAsia="zh-CN"/>
              </w:rPr>
              <w:t>98%</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465" w:hRule="atLeast"/>
        </w:trPr>
        <w:tc>
          <w:tcPr>
            <w:tcW w:w="291" w:type="pct"/>
            <w:tcBorders>
              <w:top w:val="nil"/>
              <w:left w:val="single" w:color="auto" w:sz="4" w:space="0"/>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70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88.64</w:t>
            </w:r>
            <w:r>
              <w:rPr>
                <w:rFonts w:hint="eastAsia" w:ascii="仿宋" w:hAnsi="仿宋"/>
                <w:kern w:val="0"/>
                <w:sz w:val="20"/>
                <w:szCs w:val="20"/>
              </w:rPr>
              <w:t>分</w:t>
            </w:r>
          </w:p>
        </w:tc>
      </w:tr>
      <w:tr>
        <w:tblPrEx>
          <w:tblCellMar>
            <w:top w:w="0" w:type="dxa"/>
            <w:left w:w="108" w:type="dxa"/>
            <w:bottom w:w="0" w:type="dxa"/>
            <w:right w:w="108" w:type="dxa"/>
          </w:tblCellMar>
        </w:tblPrEx>
        <w:trPr>
          <w:trHeight w:val="1062" w:hRule="atLeast"/>
        </w:trPr>
        <w:tc>
          <w:tcPr>
            <w:tcW w:w="8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179" w:type="pct"/>
            <w:gridSpan w:val="5"/>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ascii="仿宋" w:hAnsi="仿宋"/>
                <w:kern w:val="0"/>
                <w:sz w:val="20"/>
                <w:szCs w:val="20"/>
                <w:lang w:val="en-US" w:eastAsia="zh-CN"/>
              </w:rPr>
            </w:pPr>
            <w:r>
              <w:rPr>
                <w:rFonts w:hint="eastAsia" w:ascii="仿宋" w:hAnsi="仿宋"/>
                <w:kern w:val="0"/>
                <w:sz w:val="20"/>
                <w:szCs w:val="20"/>
                <w:lang w:val="en-US" w:eastAsia="zh-CN"/>
              </w:rPr>
              <w:t>1.“预算执行率”指标存在偏差的原因是：2022年7月因机构改革，部分职能调整，外聘人员根据每月实际到岗人数结算，导致实际到岗人数有所减少。</w:t>
            </w:r>
            <w:r>
              <w:rPr>
                <w:rFonts w:hint="eastAsia" w:ascii="仿宋" w:hAnsi="仿宋"/>
                <w:kern w:val="0"/>
                <w:sz w:val="20"/>
                <w:szCs w:val="20"/>
                <w:lang w:val="en-US" w:eastAsia="zh-CN"/>
              </w:rPr>
              <w:br w:type="textWrapping"/>
            </w:r>
            <w:r>
              <w:rPr>
                <w:rFonts w:hint="eastAsia" w:ascii="仿宋" w:hAnsi="仿宋"/>
                <w:kern w:val="0"/>
                <w:sz w:val="20"/>
                <w:szCs w:val="20"/>
                <w:lang w:val="en-US" w:eastAsia="zh-CN"/>
              </w:rPr>
              <w:t>2.“</w:t>
            </w:r>
            <w:r>
              <w:rPr>
                <w:rFonts w:hint="eastAsia" w:ascii="仿宋" w:hAnsi="仿宋"/>
                <w:kern w:val="0"/>
                <w:sz w:val="20"/>
                <w:szCs w:val="20"/>
              </w:rPr>
              <w:t>借用、聘用人员出勤到位率</w:t>
            </w:r>
            <w:r>
              <w:rPr>
                <w:rFonts w:hint="eastAsia" w:ascii="仿宋" w:hAnsi="仿宋"/>
                <w:kern w:val="0"/>
                <w:sz w:val="20"/>
                <w:szCs w:val="20"/>
                <w:lang w:eastAsia="zh-CN"/>
              </w:rPr>
              <w:t>”</w:t>
            </w:r>
            <w:r>
              <w:rPr>
                <w:rFonts w:hint="eastAsia" w:ascii="仿宋" w:hAnsi="仿宋"/>
                <w:kern w:val="0"/>
                <w:sz w:val="20"/>
                <w:szCs w:val="20"/>
                <w:lang w:val="en-US" w:eastAsia="zh-CN"/>
              </w:rPr>
              <w:t>指标存在偏差，政务外包服务项目预算95个岗位，平均每月到岗人数73人，未完成目标。</w:t>
            </w:r>
          </w:p>
          <w:p>
            <w:pPr>
              <w:widowControl/>
              <w:spacing w:line="240" w:lineRule="auto"/>
              <w:ind w:firstLine="0" w:firstLineChars="0"/>
              <w:jc w:val="left"/>
              <w:rPr>
                <w:rFonts w:hint="default"/>
                <w:lang w:val="en-US" w:eastAsia="zh-CN"/>
              </w:rPr>
            </w:pPr>
            <w:r>
              <w:rPr>
                <w:rFonts w:hint="eastAsia" w:ascii="仿宋" w:hAnsi="仿宋"/>
                <w:kern w:val="0"/>
                <w:sz w:val="20"/>
                <w:szCs w:val="20"/>
                <w:lang w:val="en-US" w:eastAsia="zh-CN"/>
              </w:rPr>
              <w:t>3.“绩效考核频率”指标存在偏差的原因是借用人员缺乏考核，未达到目标要求1次/月。</w:t>
            </w:r>
          </w:p>
        </w:tc>
      </w:tr>
      <w:tr>
        <w:tblPrEx>
          <w:tblCellMar>
            <w:top w:w="0" w:type="dxa"/>
            <w:left w:w="108" w:type="dxa"/>
            <w:bottom w:w="0" w:type="dxa"/>
            <w:right w:w="108" w:type="dxa"/>
          </w:tblCellMar>
        </w:tblPrEx>
        <w:trPr>
          <w:trHeight w:val="1842" w:hRule="atLeast"/>
        </w:trPr>
        <w:tc>
          <w:tcPr>
            <w:tcW w:w="8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ascii="仿宋" w:hAnsi="仿宋"/>
                <w:kern w:val="0"/>
                <w:sz w:val="20"/>
                <w:szCs w:val="20"/>
              </w:rPr>
            </w:pPr>
            <w:r>
              <w:rPr>
                <w:rFonts w:hint="eastAsia" w:ascii="仿宋" w:hAnsi="仿宋"/>
                <w:kern w:val="0"/>
                <w:sz w:val="20"/>
                <w:szCs w:val="20"/>
              </w:rPr>
              <w:t>改进措施及结果应用方案</w:t>
            </w:r>
          </w:p>
        </w:tc>
        <w:tc>
          <w:tcPr>
            <w:tcW w:w="4179"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ascii="仿宋" w:hAnsi="仿宋"/>
                <w:kern w:val="0"/>
                <w:sz w:val="20"/>
                <w:szCs w:val="20"/>
                <w:lang w:val="en-US" w:eastAsia="zh-CN"/>
              </w:rPr>
            </w:pPr>
            <w:r>
              <w:rPr>
                <w:rFonts w:hint="eastAsia" w:ascii="仿宋" w:hAnsi="仿宋"/>
                <w:kern w:val="0"/>
                <w:sz w:val="20"/>
                <w:szCs w:val="20"/>
                <w:lang w:val="en-US" w:eastAsia="zh-CN"/>
              </w:rPr>
              <w:t>1.针对2022年调整后的机构职能，重新梳理岗位需求，保障人员配置，按照调整后的需求做好来年建设（交通）政务服务专项经费预算。</w:t>
            </w:r>
          </w:p>
          <w:p>
            <w:pPr>
              <w:widowControl/>
              <w:spacing w:line="240" w:lineRule="auto"/>
              <w:ind w:firstLine="0" w:firstLineChars="0"/>
              <w:jc w:val="left"/>
              <w:rPr>
                <w:rFonts w:hint="default" w:ascii="仿宋" w:hAnsi="仿宋"/>
                <w:kern w:val="0"/>
                <w:sz w:val="20"/>
                <w:szCs w:val="20"/>
                <w:lang w:val="en-US" w:eastAsia="zh-CN"/>
              </w:rPr>
            </w:pPr>
            <w:r>
              <w:rPr>
                <w:rFonts w:hint="eastAsia" w:ascii="仿宋" w:hAnsi="仿宋"/>
                <w:kern w:val="0"/>
                <w:sz w:val="20"/>
                <w:szCs w:val="20"/>
                <w:lang w:val="en-US" w:eastAsia="zh-CN"/>
              </w:rPr>
              <w:t>2.针对“绩效考核频率”建议用人单位提高绩效考核频率，加强月度考核制度执行，完善借用人员绩效奖励机制。</w:t>
            </w:r>
          </w:p>
        </w:tc>
      </w:tr>
    </w:tbl>
    <w:p>
      <w:pPr>
        <w:pStyle w:val="2"/>
        <w:ind w:firstLine="640"/>
      </w:pPr>
    </w:p>
    <w:bookmarkEnd w:id="29"/>
    <w:bookmarkEnd w:id="30"/>
    <w:bookmarkEnd w:id="31"/>
    <w:bookmarkEnd w:id="32"/>
    <w:p>
      <w:pPr>
        <w:pStyle w:val="3"/>
        <w:pageBreakBefore/>
        <w:shd w:val="clear" w:color="auto" w:fill="FFFFFF" w:themeFill="background1"/>
        <w:kinsoku/>
        <w:wordWrap/>
        <w:overflowPunct/>
        <w:topLinePunct w:val="0"/>
        <w:autoSpaceDE/>
        <w:autoSpaceDN/>
        <w:bidi w:val="0"/>
        <w:adjustRightInd/>
        <w:snapToGrid/>
        <w:spacing w:line="360" w:lineRule="auto"/>
        <w:ind w:firstLine="643"/>
        <w:textAlignment w:val="auto"/>
        <w:rPr>
          <w:rFonts w:ascii="Times New Roman" w:hAnsi="Times New Roman" w:cs="Times New Roman"/>
        </w:rPr>
      </w:pPr>
      <w:bookmarkStart w:id="33" w:name="_Toc19524"/>
      <w:bookmarkStart w:id="34" w:name="_Toc6356"/>
      <w:bookmarkStart w:id="35" w:name="_Toc20605"/>
      <w:bookmarkStart w:id="36" w:name="_Toc9411"/>
      <w:bookmarkStart w:id="37" w:name="_Toc14313"/>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3"/>
      <w:bookmarkEnd w:id="34"/>
      <w:bookmarkEnd w:id="35"/>
      <w:bookmarkEnd w:id="36"/>
      <w:bookmarkEnd w:id="37"/>
    </w:p>
    <w:p>
      <w:pPr>
        <w:pStyle w:val="4"/>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bookmarkStart w:id="38" w:name="_Toc5884"/>
      <w:bookmarkStart w:id="39" w:name="_Toc25168"/>
      <w:bookmarkStart w:id="40" w:name="_Toc15156"/>
      <w:bookmarkStart w:id="41" w:name="_Toc2015"/>
      <w:bookmarkStart w:id="42" w:name="_Toc21519"/>
      <w:r>
        <w:rPr>
          <w:rFonts w:hint="eastAsia" w:ascii="Times New Roman" w:hAnsi="Times New Roman" w:eastAsia="楷体" w:cs="Times New Roman"/>
        </w:rPr>
        <w:t>（一）</w:t>
      </w:r>
      <w:r>
        <w:rPr>
          <w:rFonts w:ascii="Times New Roman" w:hAnsi="Times New Roman" w:eastAsia="楷体" w:cs="Times New Roman"/>
        </w:rPr>
        <w:t>基本情况</w:t>
      </w:r>
      <w:bookmarkEnd w:id="38"/>
      <w:bookmarkEnd w:id="39"/>
      <w:bookmarkEnd w:id="40"/>
      <w:bookmarkEnd w:id="41"/>
      <w:bookmarkEnd w:id="42"/>
      <w:bookmarkStart w:id="43" w:name="_Toc7020634"/>
    </w:p>
    <w:p>
      <w:pPr>
        <w:pStyle w:val="5"/>
        <w:kinsoku/>
        <w:wordWrap/>
        <w:overflowPunct/>
        <w:topLinePunct w:val="0"/>
        <w:autoSpaceDE/>
        <w:autoSpaceDN/>
        <w:bidi w:val="0"/>
        <w:adjustRightInd/>
        <w:snapToGrid/>
        <w:spacing w:line="360" w:lineRule="auto"/>
        <w:ind w:firstLine="643"/>
        <w:textAlignment w:val="auto"/>
      </w:pPr>
      <w:bookmarkStart w:id="44" w:name="_Toc18740"/>
      <w:bookmarkStart w:id="45" w:name="_Toc20435"/>
      <w:r>
        <w:rPr>
          <w:rFonts w:hint="eastAsia"/>
        </w:rPr>
        <w:t>1.</w:t>
      </w:r>
      <w:r>
        <w:t>项目</w:t>
      </w:r>
      <w:r>
        <w:rPr>
          <w:rFonts w:hint="eastAsia"/>
        </w:rPr>
        <w:t>立项目的</w:t>
      </w:r>
      <w:bookmarkEnd w:id="44"/>
      <w:bookmarkEnd w:id="45"/>
    </w:p>
    <w:p>
      <w:pPr>
        <w:shd w:val="clear" w:color="auto" w:fill="FFFFFF" w:themeFill="background1"/>
        <w:kinsoku/>
        <w:wordWrap/>
        <w:overflowPunct/>
        <w:topLinePunct w:val="0"/>
        <w:autoSpaceDE/>
        <w:autoSpaceDN/>
        <w:bidi w:val="0"/>
        <w:adjustRightInd/>
        <w:snapToGrid/>
        <w:spacing w:line="360" w:lineRule="auto"/>
        <w:ind w:firstLine="640"/>
        <w:textAlignment w:val="auto"/>
        <w:rPr>
          <w:rFonts w:hint="default" w:eastAsia="仿宋" w:cs="Times New Roman"/>
          <w:color w:val="auto"/>
          <w:kern w:val="0"/>
          <w:szCs w:val="32"/>
          <w:highlight w:val="none"/>
          <w:lang w:val="en-US" w:eastAsia="zh-CN"/>
        </w:rPr>
      </w:pPr>
      <w:bookmarkStart w:id="46" w:name="_Toc13283"/>
      <w:bookmarkStart w:id="47" w:name="_Toc10717"/>
      <w:r>
        <w:rPr>
          <w:rFonts w:hint="eastAsia" w:cs="Times New Roman"/>
          <w:color w:val="auto"/>
          <w:kern w:val="0"/>
          <w:szCs w:val="32"/>
          <w:highlight w:val="none"/>
          <w:lang w:val="en-US" w:eastAsia="zh-CN"/>
        </w:rPr>
        <w:t>根据</w:t>
      </w:r>
      <w:r>
        <w:rPr>
          <w:rFonts w:cs="Times New Roman"/>
          <w:color w:val="auto"/>
          <w:kern w:val="0"/>
          <w:szCs w:val="32"/>
          <w:highlight w:val="none"/>
        </w:rPr>
        <w:t>《党政办公室关于集中清理规范机关事业单位编外用工的通知》（武经开办〔2015〕126号）和《关于落实武经开办〔2015〕126号文件精神、切实做好编外用工清理规范工作有关问题的处理</w:t>
      </w:r>
      <w:r>
        <w:rPr>
          <w:rFonts w:hint="eastAsia" w:cs="Times New Roman"/>
          <w:color w:val="auto"/>
          <w:kern w:val="0"/>
          <w:szCs w:val="32"/>
          <w:highlight w:val="none"/>
          <w:lang w:val="en-US" w:eastAsia="zh-CN"/>
        </w:rPr>
        <w:t>意见》等文件精神，区住建局为规范编外用工，通过政府采购服务方式将社会管理性服务、行业管理与协调性服务、技术性服务以及政府履职所需辅助性事项等工作交由专业劳务服务公司人员承担；通过向体育中心、车都建发、车都置业等国有企业借用专业人员，充实管理，解决行政事业管理和专业人员编制不足的问题，以保障区住建局城建交通政务服务工作正常运转。</w:t>
      </w:r>
    </w:p>
    <w:p>
      <w:pPr>
        <w:pStyle w:val="5"/>
        <w:pageBreakBefore w:val="0"/>
        <w:widowControl w:val="0"/>
        <w:kinsoku/>
        <w:wordWrap/>
        <w:overflowPunct/>
        <w:topLinePunct w:val="0"/>
        <w:autoSpaceDE/>
        <w:autoSpaceDN/>
        <w:bidi w:val="0"/>
        <w:adjustRightInd/>
        <w:snapToGrid/>
        <w:spacing w:line="360" w:lineRule="auto"/>
        <w:ind w:firstLine="643"/>
        <w:textAlignment w:val="auto"/>
      </w:pPr>
      <w:r>
        <w:t>2.</w:t>
      </w:r>
      <w:r>
        <w:rPr>
          <w:rFonts w:hint="eastAsia"/>
        </w:rPr>
        <w:t>年度</w:t>
      </w:r>
      <w:r>
        <w:t>绩效目标</w:t>
      </w:r>
      <w:bookmarkEnd w:id="46"/>
      <w:bookmarkEnd w:id="47"/>
    </w:p>
    <w:p>
      <w:pPr>
        <w:pageBreakBefore w:val="0"/>
        <w:widowControl w:val="0"/>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lang w:val="en-US" w:eastAsia="zh-CN"/>
        </w:rPr>
        <w:t>本项目2022年项目申报表中年度绩效指标设置不规范，未能全面反映项目的产出，根据项目主要工作任务，调整设置绩效目标如下：</w:t>
      </w:r>
    </w:p>
    <w:p>
      <w:pPr>
        <w:pageBreakBefore w:val="0"/>
        <w:widowControl w:val="0"/>
        <w:numPr>
          <w:ilvl w:val="0"/>
          <w:numId w:val="1"/>
        </w:numPr>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rPr>
        <w:t>产出目标：</w:t>
      </w:r>
    </w:p>
    <w:p>
      <w:pPr>
        <w:pageBreakBefore w:val="0"/>
        <w:widowControl w:val="0"/>
        <w:numPr>
          <w:ilvl w:val="0"/>
          <w:numId w:val="0"/>
        </w:numPr>
        <w:shd w:val="clear" w:color="auto" w:fill="FFFFFF" w:themeFill="background1"/>
        <w:kinsoku/>
        <w:wordWrap/>
        <w:overflowPunct/>
        <w:topLinePunct w:val="0"/>
        <w:autoSpaceDE/>
        <w:autoSpaceDN/>
        <w:bidi w:val="0"/>
        <w:adjustRightInd/>
        <w:snapToGrid/>
        <w:spacing w:line="360" w:lineRule="auto"/>
        <w:ind w:firstLine="640" w:firstLineChars="200"/>
        <w:textAlignment w:val="auto"/>
        <w:rPr>
          <w:rFonts w:hint="eastAsia" w:eastAsia="仿宋" w:cs="Times New Roman"/>
          <w:color w:val="auto"/>
          <w:kern w:val="0"/>
          <w:szCs w:val="32"/>
          <w:lang w:eastAsia="zh-CN"/>
        </w:rPr>
      </w:pPr>
      <w:r>
        <w:rPr>
          <w:rFonts w:hint="eastAsia" w:cs="Times New Roman"/>
          <w:color w:val="auto"/>
          <w:kern w:val="0"/>
          <w:szCs w:val="32"/>
          <w:lang w:val="en-US" w:eastAsia="zh-CN"/>
        </w:rPr>
        <w:t>数量指标：</w:t>
      </w:r>
      <w:r>
        <w:rPr>
          <w:rFonts w:hint="eastAsia" w:cs="Times New Roman"/>
          <w:color w:val="auto"/>
          <w:kern w:val="0"/>
          <w:szCs w:val="32"/>
        </w:rPr>
        <w:t>借用、聘用人员出勤到位率</w:t>
      </w:r>
      <w:r>
        <w:rPr>
          <w:rFonts w:hint="eastAsia" w:cs="Times New Roman"/>
          <w:color w:val="auto"/>
          <w:kern w:val="0"/>
          <w:szCs w:val="32"/>
          <w:lang w:eastAsia="zh-CN"/>
        </w:rPr>
        <w:t>，</w:t>
      </w:r>
      <w:r>
        <w:rPr>
          <w:rFonts w:hint="eastAsia" w:cs="Times New Roman"/>
          <w:color w:val="auto"/>
          <w:kern w:val="0"/>
          <w:szCs w:val="32"/>
          <w:lang w:val="en-US" w:eastAsia="zh-CN"/>
        </w:rPr>
        <w:t>目标值为各</w:t>
      </w:r>
      <w:r>
        <w:rPr>
          <w:rFonts w:hint="eastAsia" w:cs="Times New Roman"/>
          <w:color w:val="auto"/>
          <w:kern w:val="0"/>
          <w:szCs w:val="32"/>
        </w:rPr>
        <w:t>部门95个服务岗位</w:t>
      </w:r>
      <w:r>
        <w:rPr>
          <w:rFonts w:hint="eastAsia" w:cs="Times New Roman"/>
          <w:color w:val="auto"/>
          <w:kern w:val="0"/>
          <w:szCs w:val="32"/>
          <w:lang w:eastAsia="zh-CN"/>
        </w:rPr>
        <w:t>；</w:t>
      </w:r>
    </w:p>
    <w:p>
      <w:pPr>
        <w:pStyle w:val="2"/>
        <w:pageBreakBefore w:val="0"/>
        <w:widowControl w:val="0"/>
        <w:kinsoku/>
        <w:wordWrap/>
        <w:overflowPunct/>
        <w:topLinePunct w:val="0"/>
        <w:autoSpaceDE/>
        <w:autoSpaceDN/>
        <w:bidi w:val="0"/>
        <w:adjustRightInd/>
        <w:snapToGrid/>
        <w:spacing w:after="0" w:line="360" w:lineRule="auto"/>
        <w:textAlignment w:val="auto"/>
        <w:rPr>
          <w:rFonts w:hint="default"/>
          <w:lang w:val="en-US"/>
        </w:rPr>
      </w:pPr>
      <w:r>
        <w:rPr>
          <w:rFonts w:hint="eastAsia" w:cs="Times New Roman"/>
          <w:color w:val="auto"/>
          <w:kern w:val="0"/>
          <w:szCs w:val="32"/>
          <w:lang w:val="en-US" w:eastAsia="zh-CN"/>
        </w:rPr>
        <w:t>数量指标：绩效考核评论，目标值为1次/月；</w:t>
      </w:r>
    </w:p>
    <w:p>
      <w:pPr>
        <w:pStyle w:val="2"/>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textAlignment w:val="auto"/>
        <w:rPr>
          <w:rFonts w:hint="eastAsia"/>
          <w:lang w:val="en-US" w:eastAsia="zh-CN"/>
        </w:rPr>
      </w:pPr>
      <w:r>
        <w:rPr>
          <w:rFonts w:hint="eastAsia"/>
        </w:rPr>
        <w:t>质量</w:t>
      </w:r>
      <w:r>
        <w:rPr>
          <w:rFonts w:hint="eastAsia"/>
          <w:lang w:val="en-US" w:eastAsia="zh-CN"/>
        </w:rPr>
        <w:t>指标</w:t>
      </w:r>
      <w:r>
        <w:rPr>
          <w:rFonts w:hint="eastAsia"/>
        </w:rPr>
        <w:t>：</w:t>
      </w:r>
      <w:r>
        <w:rPr>
          <w:rFonts w:hint="eastAsia"/>
          <w:lang w:val="en-US" w:eastAsia="zh-CN"/>
        </w:rPr>
        <w:t>绩效考核合格率，目标值为≥95%；</w:t>
      </w:r>
    </w:p>
    <w:p>
      <w:pPr>
        <w:pStyle w:val="2"/>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textAlignment w:val="auto"/>
        <w:rPr>
          <w:rFonts w:hint="eastAsia"/>
          <w:lang w:val="en-US" w:eastAsia="zh-CN"/>
        </w:rPr>
      </w:pPr>
      <w:r>
        <w:rPr>
          <w:rFonts w:hint="eastAsia"/>
          <w:lang w:val="en-US" w:eastAsia="zh-CN"/>
        </w:rPr>
        <w:t>质量指标：绩效考核优秀率，目标值为≥20%；</w:t>
      </w:r>
    </w:p>
    <w:p>
      <w:pPr>
        <w:pStyle w:val="2"/>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textAlignment w:val="auto"/>
        <w:rPr>
          <w:rFonts w:hint="eastAsia"/>
        </w:rPr>
      </w:pPr>
      <w:r>
        <w:rPr>
          <w:rFonts w:hint="eastAsia"/>
          <w:lang w:val="en-US" w:eastAsia="zh-CN"/>
        </w:rPr>
        <w:t>时效指标：</w:t>
      </w:r>
      <w:r>
        <w:rPr>
          <w:rFonts w:hint="eastAsia"/>
        </w:rPr>
        <w:t>在规定时间内完成各项专项工作</w:t>
      </w:r>
      <w:r>
        <w:rPr>
          <w:rFonts w:hint="eastAsia"/>
          <w:lang w:eastAsia="zh-CN"/>
        </w:rPr>
        <w:t>，</w:t>
      </w:r>
      <w:r>
        <w:rPr>
          <w:rFonts w:hint="eastAsia"/>
          <w:lang w:val="en-US" w:eastAsia="zh-CN"/>
        </w:rPr>
        <w:t>目标值为按时完成</w:t>
      </w:r>
      <w:r>
        <w:rPr>
          <w:rFonts w:hint="eastAsia"/>
        </w:rPr>
        <w:t>。</w:t>
      </w:r>
    </w:p>
    <w:p>
      <w:pPr>
        <w:pStyle w:val="2"/>
        <w:pageBreakBefore w:val="0"/>
        <w:widowControl w:val="0"/>
        <w:numPr>
          <w:ilvl w:val="0"/>
          <w:numId w:val="1"/>
        </w:numPr>
        <w:kinsoku/>
        <w:wordWrap/>
        <w:overflowPunct/>
        <w:topLinePunct w:val="0"/>
        <w:autoSpaceDE/>
        <w:autoSpaceDN/>
        <w:bidi w:val="0"/>
        <w:adjustRightInd/>
        <w:snapToGrid/>
        <w:spacing w:after="0" w:line="360" w:lineRule="auto"/>
        <w:ind w:firstLineChars="0"/>
        <w:textAlignment w:val="auto"/>
        <w:rPr>
          <w:rFonts w:hint="eastAsia"/>
        </w:rPr>
      </w:pPr>
      <w:r>
        <w:rPr>
          <w:rFonts w:hint="eastAsia"/>
          <w:lang w:val="en-US" w:eastAsia="zh-CN"/>
        </w:rPr>
        <w:t>效益指标：</w:t>
      </w:r>
    </w:p>
    <w:p>
      <w:pPr>
        <w:pStyle w:val="2"/>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textAlignment w:val="auto"/>
        <w:rPr>
          <w:rFonts w:hint="eastAsia"/>
          <w:lang w:val="en-US" w:eastAsia="zh-CN"/>
        </w:rPr>
      </w:pPr>
      <w:r>
        <w:rPr>
          <w:rFonts w:hint="eastAsia"/>
          <w:lang w:val="en-US" w:eastAsia="zh-CN"/>
        </w:rPr>
        <w:t>社会效益指标，推进城建交通重点项目、重要工作全面完成，目标值为有所推进；</w:t>
      </w:r>
    </w:p>
    <w:p>
      <w:pPr>
        <w:pStyle w:val="2"/>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textAlignment w:val="auto"/>
        <w:rPr>
          <w:rFonts w:hint="default" w:eastAsia="仿宋"/>
          <w:lang w:val="en-US" w:eastAsia="zh-CN"/>
        </w:rPr>
      </w:pPr>
      <w:r>
        <w:rPr>
          <w:rFonts w:hint="eastAsia"/>
          <w:lang w:val="en-US" w:eastAsia="zh-CN"/>
        </w:rPr>
        <w:t>社会效益指标，</w:t>
      </w:r>
      <w:r>
        <w:rPr>
          <w:rFonts w:hint="eastAsia"/>
        </w:rPr>
        <w:t>满足各岗位服务标准， 推进服务水平</w:t>
      </w:r>
      <w:r>
        <w:rPr>
          <w:rFonts w:hint="eastAsia"/>
          <w:lang w:eastAsia="zh-CN"/>
        </w:rPr>
        <w:t>，</w:t>
      </w:r>
      <w:r>
        <w:rPr>
          <w:rFonts w:hint="eastAsia"/>
          <w:lang w:val="en-US" w:eastAsia="zh-CN"/>
        </w:rPr>
        <w:t>目标值为有所提升；</w:t>
      </w:r>
    </w:p>
    <w:p>
      <w:pPr>
        <w:pageBreakBefore w:val="0"/>
        <w:widowControl w:val="0"/>
        <w:numPr>
          <w:ilvl w:val="0"/>
          <w:numId w:val="1"/>
        </w:numPr>
        <w:shd w:val="clear" w:color="auto" w:fill="FFFFFF" w:themeFill="background1"/>
        <w:kinsoku/>
        <w:wordWrap/>
        <w:overflowPunct/>
        <w:topLinePunct w:val="0"/>
        <w:autoSpaceDE/>
        <w:autoSpaceDN/>
        <w:bidi w:val="0"/>
        <w:adjustRightInd/>
        <w:snapToGrid/>
        <w:spacing w:line="360" w:lineRule="auto"/>
        <w:ind w:firstLine="640" w:firstLineChars="0"/>
        <w:textAlignment w:val="auto"/>
        <w:rPr>
          <w:rFonts w:cs="Times New Roman"/>
          <w:color w:val="auto"/>
          <w:kern w:val="0"/>
          <w:szCs w:val="32"/>
        </w:rPr>
      </w:pPr>
      <w:r>
        <w:rPr>
          <w:rFonts w:hint="eastAsia" w:ascii="Times New Roman" w:hAnsi="Times New Roman" w:eastAsia="仿宋" w:cs="宋体"/>
          <w:color w:val="000000"/>
          <w:kern w:val="2"/>
          <w:sz w:val="32"/>
          <w:szCs w:val="28"/>
          <w:lang w:val="en-US" w:eastAsia="zh-CN" w:bidi="ar-SA"/>
        </w:rPr>
        <w:t>满意度目标：社</w:t>
      </w:r>
      <w:r>
        <w:rPr>
          <w:rFonts w:hint="eastAsia" w:cs="Times New Roman"/>
          <w:color w:val="auto"/>
          <w:kern w:val="0"/>
          <w:szCs w:val="32"/>
        </w:rPr>
        <w:t>会公众满意度</w:t>
      </w:r>
      <w:r>
        <w:rPr>
          <w:rFonts w:hint="eastAsia" w:cs="Times New Roman"/>
          <w:color w:val="auto"/>
          <w:kern w:val="0"/>
          <w:szCs w:val="32"/>
          <w:lang w:eastAsia="zh-CN"/>
        </w:rPr>
        <w:t>，</w:t>
      </w:r>
      <w:r>
        <w:rPr>
          <w:rFonts w:hint="eastAsia" w:cs="Times New Roman"/>
          <w:color w:val="auto"/>
          <w:kern w:val="0"/>
          <w:szCs w:val="32"/>
          <w:lang w:val="en-US" w:eastAsia="zh-CN"/>
        </w:rPr>
        <w:t>目标值为</w:t>
      </w:r>
      <w:r>
        <w:rPr>
          <w:rFonts w:hint="eastAsia" w:cs="Times New Roman"/>
          <w:color w:val="auto"/>
          <w:kern w:val="0"/>
          <w:szCs w:val="32"/>
        </w:rPr>
        <w:t>≥</w:t>
      </w:r>
      <w:r>
        <w:rPr>
          <w:rFonts w:cs="Times New Roman"/>
          <w:color w:val="auto"/>
          <w:kern w:val="0"/>
          <w:szCs w:val="32"/>
        </w:rPr>
        <w:t>9</w:t>
      </w:r>
      <w:r>
        <w:rPr>
          <w:rFonts w:hint="eastAsia" w:cs="Times New Roman"/>
          <w:color w:val="auto"/>
          <w:kern w:val="0"/>
          <w:szCs w:val="32"/>
        </w:rPr>
        <w:t>5%。</w:t>
      </w:r>
    </w:p>
    <w:p>
      <w:pPr>
        <w:pStyle w:val="5"/>
        <w:kinsoku/>
        <w:wordWrap/>
        <w:overflowPunct/>
        <w:topLinePunct w:val="0"/>
        <w:autoSpaceDE/>
        <w:autoSpaceDN/>
        <w:bidi w:val="0"/>
        <w:adjustRightInd/>
        <w:snapToGrid/>
        <w:spacing w:line="360" w:lineRule="auto"/>
        <w:ind w:firstLine="643"/>
        <w:textAlignment w:val="auto"/>
      </w:pPr>
      <w:bookmarkStart w:id="48" w:name="_Toc27033"/>
      <w:bookmarkStart w:id="49" w:name="_Toc22166"/>
      <w:r>
        <w:rPr>
          <w:rFonts w:hint="eastAsia"/>
        </w:rPr>
        <w:t>3.</w:t>
      </w:r>
      <w:r>
        <w:t>项目资金情况</w:t>
      </w:r>
      <w:bookmarkEnd w:id="48"/>
      <w:bookmarkEnd w:id="49"/>
    </w:p>
    <w:p>
      <w:pPr>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rPr>
        <w:t>本项目202</w:t>
      </w:r>
      <w:r>
        <w:rPr>
          <w:rFonts w:cs="Times New Roman"/>
          <w:color w:val="auto"/>
          <w:kern w:val="0"/>
          <w:szCs w:val="32"/>
        </w:rPr>
        <w:t>2</w:t>
      </w:r>
      <w:r>
        <w:rPr>
          <w:rFonts w:hint="eastAsia" w:cs="Times New Roman"/>
          <w:color w:val="auto"/>
          <w:kern w:val="0"/>
          <w:szCs w:val="32"/>
        </w:rPr>
        <w:t>年</w:t>
      </w:r>
      <w:r>
        <w:rPr>
          <w:rFonts w:hint="eastAsia"/>
        </w:rPr>
        <w:t>预算总额为</w:t>
      </w:r>
      <w:r>
        <w:t>1326.25</w:t>
      </w:r>
      <w:r>
        <w:rPr>
          <w:rFonts w:hint="eastAsia"/>
        </w:rPr>
        <w:t>万元，</w:t>
      </w:r>
      <w:r>
        <w:rPr>
          <w:rFonts w:hint="eastAsia" w:cs="Times New Roman"/>
          <w:color w:val="auto"/>
          <w:kern w:val="0"/>
          <w:szCs w:val="32"/>
        </w:rPr>
        <w:t xml:space="preserve"> 202</w:t>
      </w:r>
      <w:r>
        <w:rPr>
          <w:rFonts w:cs="Times New Roman"/>
          <w:color w:val="auto"/>
          <w:kern w:val="0"/>
          <w:szCs w:val="32"/>
        </w:rPr>
        <w:t>2</w:t>
      </w:r>
      <w:r>
        <w:rPr>
          <w:rFonts w:hint="eastAsia" w:cs="Times New Roman"/>
          <w:color w:val="auto"/>
          <w:kern w:val="0"/>
          <w:szCs w:val="32"/>
        </w:rPr>
        <w:t>年实际支出资金</w:t>
      </w:r>
      <w:r>
        <w:rPr>
          <w:rFonts w:cs="Times New Roman"/>
          <w:color w:val="auto"/>
          <w:kern w:val="0"/>
          <w:szCs w:val="32"/>
        </w:rPr>
        <w:t>838.5</w:t>
      </w:r>
      <w:r>
        <w:rPr>
          <w:rFonts w:hint="eastAsia" w:cs="Times New Roman"/>
          <w:color w:val="auto"/>
          <w:kern w:val="0"/>
          <w:szCs w:val="32"/>
        </w:rPr>
        <w:t>万元，综合预算执行率为</w:t>
      </w:r>
      <w:r>
        <w:rPr>
          <w:rFonts w:cs="Times New Roman"/>
          <w:color w:val="auto"/>
          <w:kern w:val="0"/>
          <w:szCs w:val="32"/>
        </w:rPr>
        <w:t>63.22</w:t>
      </w:r>
      <w:r>
        <w:rPr>
          <w:rFonts w:hint="eastAsia" w:cs="Times New Roman"/>
          <w:color w:val="auto"/>
          <w:kern w:val="0"/>
          <w:szCs w:val="32"/>
        </w:rPr>
        <w:t>%</w:t>
      </w:r>
      <w:r>
        <w:rPr>
          <w:rFonts w:cs="Times New Roman"/>
          <w:color w:val="auto"/>
          <w:kern w:val="0"/>
          <w:szCs w:val="32"/>
        </w:rPr>
        <w:t>。</w:t>
      </w:r>
    </w:p>
    <w:bookmarkEnd w:id="43"/>
    <w:p>
      <w:pPr>
        <w:widowControl/>
        <w:kinsoku/>
        <w:wordWrap/>
        <w:overflowPunct/>
        <w:topLinePunct w:val="0"/>
        <w:autoSpaceDE/>
        <w:autoSpaceDN/>
        <w:bidi w:val="0"/>
        <w:adjustRightInd/>
        <w:snapToGrid/>
        <w:spacing w:line="360" w:lineRule="auto"/>
        <w:ind w:firstLine="643"/>
        <w:jc w:val="left"/>
        <w:textAlignment w:val="auto"/>
        <w:outlineLvl w:val="1"/>
        <w:rPr>
          <w:rFonts w:eastAsia="楷体"/>
          <w:b/>
          <w:bCs/>
          <w:kern w:val="0"/>
          <w:szCs w:val="32"/>
        </w:rPr>
      </w:pPr>
      <w:bookmarkStart w:id="50" w:name="_Toc6163"/>
      <w:bookmarkStart w:id="51" w:name="_Toc28731"/>
      <w:bookmarkStart w:id="52" w:name="_Toc31889"/>
      <w:bookmarkStart w:id="53" w:name="_Toc16187"/>
      <w:bookmarkStart w:id="54" w:name="_Toc16572"/>
      <w:r>
        <w:rPr>
          <w:rFonts w:eastAsia="楷体"/>
          <w:b/>
          <w:bCs/>
          <w:kern w:val="0"/>
          <w:szCs w:val="32"/>
        </w:rPr>
        <w:t>（二）部门自评工作开展情况</w:t>
      </w:r>
    </w:p>
    <w:p>
      <w:pPr>
        <w:widowControl/>
        <w:kinsoku/>
        <w:wordWrap/>
        <w:overflowPunct/>
        <w:topLinePunct w:val="0"/>
        <w:autoSpaceDE/>
        <w:autoSpaceDN/>
        <w:bidi w:val="0"/>
        <w:adjustRightInd/>
        <w:snapToGrid/>
        <w:spacing w:line="360" w:lineRule="auto"/>
        <w:ind w:firstLine="640"/>
        <w:textAlignment w:val="auto"/>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本次自评时间从2023年</w:t>
      </w:r>
      <w:r>
        <w:rPr>
          <w:color w:val="000000" w:themeColor="text1"/>
          <w:szCs w:val="32"/>
          <w14:textFill>
            <w14:solidFill>
              <w14:schemeClr w14:val="tx1"/>
            </w14:solidFill>
          </w14:textFill>
        </w:rPr>
        <w:t>4</w:t>
      </w:r>
      <w:r>
        <w:rPr>
          <w:rFonts w:hint="eastAsia"/>
          <w:color w:val="000000" w:themeColor="text1"/>
          <w:szCs w:val="32"/>
          <w14:textFill>
            <w14:solidFill>
              <w14:schemeClr w14:val="tx1"/>
            </w14:solidFill>
          </w14:textFill>
        </w:rPr>
        <w:t>月3日至2023年4月21日，历时</w:t>
      </w:r>
      <w:r>
        <w:rPr>
          <w:color w:val="000000" w:themeColor="text1"/>
          <w:szCs w:val="32"/>
          <w14:textFill>
            <w14:solidFill>
              <w14:schemeClr w14:val="tx1"/>
            </w14:solidFill>
          </w14:textFill>
        </w:rPr>
        <w:t>1</w:t>
      </w:r>
      <w:r>
        <w:rPr>
          <w:rFonts w:hint="eastAsia"/>
          <w:color w:val="000000" w:themeColor="text1"/>
          <w:szCs w:val="32"/>
          <w14:textFill>
            <w14:solidFill>
              <w14:schemeClr w14:val="tx1"/>
            </w14:solidFill>
          </w14:textFill>
        </w:rPr>
        <w:t>5天。自评工作程序如下：</w:t>
      </w:r>
    </w:p>
    <w:p>
      <w:pPr>
        <w:widowControl/>
        <w:kinsoku/>
        <w:wordWrap/>
        <w:overflowPunct/>
        <w:topLinePunct w:val="0"/>
        <w:autoSpaceDE/>
        <w:autoSpaceDN/>
        <w:bidi w:val="0"/>
        <w:adjustRightInd/>
        <w:snapToGrid/>
        <w:spacing w:line="360" w:lineRule="auto"/>
        <w:ind w:firstLine="643"/>
        <w:textAlignment w:val="auto"/>
        <w:rPr>
          <w:b/>
          <w:bCs/>
          <w:szCs w:val="32"/>
        </w:rPr>
      </w:pPr>
      <w:r>
        <w:rPr>
          <w:rFonts w:hint="eastAsia"/>
          <w:b/>
          <w:bCs/>
          <w:szCs w:val="32"/>
        </w:rPr>
        <w:t>1.</w:t>
      </w:r>
      <w:r>
        <w:rPr>
          <w:b/>
          <w:bCs/>
          <w:szCs w:val="32"/>
        </w:rPr>
        <w:t>制定工作方案</w:t>
      </w:r>
    </w:p>
    <w:p>
      <w:pPr>
        <w:widowControl/>
        <w:kinsoku/>
        <w:wordWrap/>
        <w:overflowPunct/>
        <w:topLinePunct w:val="0"/>
        <w:autoSpaceDE/>
        <w:autoSpaceDN/>
        <w:bidi w:val="0"/>
        <w:adjustRightInd/>
        <w:snapToGrid/>
        <w:spacing w:line="360" w:lineRule="auto"/>
        <w:ind w:firstLine="640"/>
        <w:textAlignment w:val="auto"/>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szCs w:val="32"/>
        </w:rPr>
        <w:t>《关于开展2023年预算绩效评价及项目支出绩效运行监控的通知》（武经开〔2023〕19号）</w:t>
      </w:r>
      <w:r>
        <w:rPr>
          <w:rFonts w:hint="eastAsia"/>
          <w:color w:val="000000" w:themeColor="text1"/>
          <w:szCs w:val="32"/>
          <w14:textFill>
            <w14:solidFill>
              <w14:schemeClr w14:val="tx1"/>
            </w14:solidFill>
          </w14:textFill>
        </w:rPr>
        <w:t>启动部门自评工作。</w:t>
      </w:r>
    </w:p>
    <w:p>
      <w:pPr>
        <w:widowControl/>
        <w:kinsoku/>
        <w:wordWrap/>
        <w:overflowPunct/>
        <w:topLinePunct w:val="0"/>
        <w:autoSpaceDE/>
        <w:autoSpaceDN/>
        <w:bidi w:val="0"/>
        <w:adjustRightInd/>
        <w:snapToGrid/>
        <w:spacing w:line="360" w:lineRule="auto"/>
        <w:ind w:firstLine="643"/>
        <w:textAlignment w:val="auto"/>
        <w:rPr>
          <w:b/>
          <w:bCs/>
          <w:szCs w:val="32"/>
        </w:rPr>
      </w:pPr>
      <w:r>
        <w:rPr>
          <w:rFonts w:hint="eastAsia"/>
          <w:b/>
          <w:bCs/>
          <w:szCs w:val="32"/>
        </w:rPr>
        <w:t>2.组织实施自评</w:t>
      </w:r>
    </w:p>
    <w:p>
      <w:pPr>
        <w:widowControl/>
        <w:kinsoku/>
        <w:wordWrap/>
        <w:overflowPunct/>
        <w:topLinePunct w:val="0"/>
        <w:autoSpaceDE/>
        <w:autoSpaceDN/>
        <w:bidi w:val="0"/>
        <w:adjustRightInd/>
        <w:snapToGrid/>
        <w:spacing w:line="360" w:lineRule="auto"/>
        <w:ind w:firstLine="640"/>
        <w:textAlignment w:val="auto"/>
        <w:rPr>
          <w:szCs w:val="32"/>
        </w:rPr>
      </w:pPr>
      <w:r>
        <w:rPr>
          <w:szCs w:val="32"/>
        </w:rPr>
        <w:t>财务部门会同第三方机构及时成立工作组，通过调研访谈、</w:t>
      </w:r>
      <w:r>
        <w:rPr>
          <w:rFonts w:hint="eastAsia"/>
          <w:szCs w:val="32"/>
        </w:rPr>
        <w:t>电话访谈</w:t>
      </w:r>
      <w:r>
        <w:rPr>
          <w:szCs w:val="32"/>
        </w:rPr>
        <w:t>等方式收集、核实数据和信息，并对这些数据和信息进行整理分析。</w:t>
      </w:r>
    </w:p>
    <w:p>
      <w:pPr>
        <w:widowControl/>
        <w:kinsoku/>
        <w:wordWrap/>
        <w:overflowPunct/>
        <w:topLinePunct w:val="0"/>
        <w:autoSpaceDE/>
        <w:autoSpaceDN/>
        <w:bidi w:val="0"/>
        <w:adjustRightInd/>
        <w:snapToGrid/>
        <w:spacing w:line="360" w:lineRule="auto"/>
        <w:ind w:firstLine="643"/>
        <w:textAlignment w:val="auto"/>
        <w:rPr>
          <w:b/>
          <w:bCs/>
          <w:szCs w:val="32"/>
        </w:rPr>
      </w:pPr>
      <w:r>
        <w:rPr>
          <w:rFonts w:hint="eastAsia"/>
          <w:b/>
          <w:bCs/>
          <w:szCs w:val="32"/>
        </w:rPr>
        <w:t>3.撰写部门自评结果</w:t>
      </w:r>
    </w:p>
    <w:p>
      <w:pPr>
        <w:widowControl/>
        <w:kinsoku/>
        <w:wordWrap/>
        <w:overflowPunct/>
        <w:topLinePunct w:val="0"/>
        <w:autoSpaceDE/>
        <w:autoSpaceDN/>
        <w:bidi w:val="0"/>
        <w:adjustRightInd/>
        <w:snapToGrid/>
        <w:spacing w:line="360" w:lineRule="auto"/>
        <w:ind w:firstLine="640"/>
        <w:textAlignment w:val="auto"/>
        <w:rPr>
          <w:szCs w:val="32"/>
        </w:rPr>
      </w:pPr>
      <w:r>
        <w:rPr>
          <w:szCs w:val="32"/>
        </w:rPr>
        <w:t>在整理分析基础上，形成部门</w:t>
      </w:r>
      <w:bookmarkStart w:id="80" w:name="_GoBack"/>
      <w:bookmarkEnd w:id="80"/>
      <w:r>
        <w:rPr>
          <w:szCs w:val="32"/>
        </w:rPr>
        <w:t>自评结果。</w:t>
      </w:r>
    </w:p>
    <w:p>
      <w:pPr>
        <w:widowControl/>
        <w:kinsoku/>
        <w:wordWrap/>
        <w:overflowPunct/>
        <w:topLinePunct w:val="0"/>
        <w:autoSpaceDE/>
        <w:autoSpaceDN/>
        <w:bidi w:val="0"/>
        <w:adjustRightInd/>
        <w:snapToGrid/>
        <w:spacing w:line="360" w:lineRule="auto"/>
        <w:ind w:firstLine="643"/>
        <w:textAlignment w:val="auto"/>
        <w:rPr>
          <w:b/>
          <w:bCs/>
          <w:szCs w:val="32"/>
        </w:rPr>
      </w:pPr>
      <w:r>
        <w:rPr>
          <w:rFonts w:hint="eastAsia"/>
          <w:b/>
          <w:bCs/>
          <w:szCs w:val="32"/>
        </w:rPr>
        <w:t>4.建立部门自评档案</w:t>
      </w:r>
    </w:p>
    <w:p>
      <w:pPr>
        <w:widowControl/>
        <w:kinsoku/>
        <w:wordWrap/>
        <w:overflowPunct/>
        <w:topLinePunct w:val="0"/>
        <w:autoSpaceDE/>
        <w:autoSpaceDN/>
        <w:bidi w:val="0"/>
        <w:adjustRightInd/>
        <w:snapToGrid/>
        <w:spacing w:line="360" w:lineRule="auto"/>
        <w:ind w:firstLine="640"/>
        <w:textAlignment w:val="auto"/>
        <w:rPr>
          <w:szCs w:val="32"/>
        </w:rPr>
      </w:pPr>
      <w:r>
        <w:rPr>
          <w:szCs w:val="32"/>
        </w:rPr>
        <w:t>部门自评结果按时报送财政部门备案并及时归档备查。</w:t>
      </w:r>
    </w:p>
    <w:p>
      <w:pPr>
        <w:pStyle w:val="4"/>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50"/>
      <w:bookmarkEnd w:id="51"/>
      <w:bookmarkEnd w:id="52"/>
      <w:bookmarkEnd w:id="53"/>
      <w:bookmarkEnd w:id="54"/>
    </w:p>
    <w:p>
      <w:pPr>
        <w:pStyle w:val="5"/>
        <w:kinsoku/>
        <w:wordWrap/>
        <w:overflowPunct/>
        <w:topLinePunct w:val="0"/>
        <w:autoSpaceDE/>
        <w:autoSpaceDN/>
        <w:bidi w:val="0"/>
        <w:adjustRightInd/>
        <w:snapToGrid/>
        <w:spacing w:line="360" w:lineRule="auto"/>
        <w:ind w:firstLine="643"/>
        <w:textAlignment w:val="auto"/>
      </w:pPr>
      <w:bookmarkStart w:id="55" w:name="_Toc5479"/>
      <w:bookmarkStart w:id="56" w:name="_Toc16689"/>
      <w:r>
        <w:rPr>
          <w:rFonts w:hint="eastAsia"/>
        </w:rPr>
        <w:t>1.预算执行情况分析（满分20分，得分</w:t>
      </w:r>
      <w:r>
        <w:rPr>
          <w:rFonts w:hint="eastAsia"/>
          <w:lang w:val="en-US" w:eastAsia="zh-CN"/>
        </w:rPr>
        <w:t>12.64</w:t>
      </w:r>
      <w:r>
        <w:rPr>
          <w:rFonts w:hint="eastAsia"/>
        </w:rPr>
        <w:t>分）</w:t>
      </w:r>
      <w:bookmarkEnd w:id="55"/>
      <w:bookmarkEnd w:id="56"/>
    </w:p>
    <w:p>
      <w:pPr>
        <w:kinsoku/>
        <w:wordWrap/>
        <w:overflowPunct/>
        <w:topLinePunct w:val="0"/>
        <w:autoSpaceDE/>
        <w:autoSpaceDN/>
        <w:bidi w:val="0"/>
        <w:adjustRightInd/>
        <w:snapToGrid/>
        <w:spacing w:line="360" w:lineRule="auto"/>
        <w:ind w:firstLine="640"/>
        <w:textAlignment w:val="auto"/>
      </w:pPr>
      <w:r>
        <w:rPr>
          <w:rFonts w:hint="eastAsia"/>
        </w:rPr>
        <w:t>本项目2022年度项目预算金额为1326.25万元。本项目年度实际支出838.50万元，预算执行率为</w:t>
      </w:r>
      <w:r>
        <w:t>63.22</w:t>
      </w:r>
      <w:r>
        <w:rPr>
          <w:rFonts w:hint="eastAsia"/>
        </w:rPr>
        <w:t>%</w:t>
      </w:r>
      <w:r>
        <w:rPr>
          <w:rFonts w:hint="eastAsia"/>
          <w:lang w:eastAsia="zh-CN"/>
        </w:rPr>
        <w:t>，</w:t>
      </w:r>
      <w:r>
        <w:rPr>
          <w:rFonts w:hint="eastAsia"/>
        </w:rPr>
        <w:t>得分</w:t>
      </w:r>
      <w:r>
        <w:t>12.64</w:t>
      </w:r>
      <w:r>
        <w:rPr>
          <w:rFonts w:hint="eastAsia"/>
        </w:rPr>
        <w:t>分。</w:t>
      </w:r>
    </w:p>
    <w:p>
      <w:pPr>
        <w:pStyle w:val="5"/>
        <w:kinsoku/>
        <w:wordWrap/>
        <w:overflowPunct/>
        <w:topLinePunct w:val="0"/>
        <w:autoSpaceDE/>
        <w:autoSpaceDN/>
        <w:bidi w:val="0"/>
        <w:adjustRightInd/>
        <w:snapToGrid/>
        <w:spacing w:line="360" w:lineRule="auto"/>
        <w:ind w:firstLine="643"/>
        <w:textAlignment w:val="auto"/>
      </w:pPr>
      <w:bookmarkStart w:id="57" w:name="_Toc18842"/>
      <w:bookmarkStart w:id="58" w:name="_Toc15609"/>
      <w:bookmarkStart w:id="59" w:name="_Toc387957823"/>
      <w:bookmarkStart w:id="60" w:name="_Toc406666374"/>
      <w:bookmarkStart w:id="61" w:name="_Toc361302036"/>
      <w:bookmarkStart w:id="62" w:name="_Toc361304699"/>
      <w:bookmarkStart w:id="63" w:name="_Toc17271_WPSOffice_Level2"/>
      <w:bookmarkStart w:id="64" w:name="_Toc406668048"/>
      <w:r>
        <w:rPr>
          <w:rFonts w:hint="eastAsia"/>
        </w:rPr>
        <w:t>2.绩效目标完成情况分析（满分80分，得分</w:t>
      </w:r>
      <w:r>
        <w:rPr>
          <w:rFonts w:hint="eastAsia"/>
          <w:lang w:val="en-US" w:eastAsia="zh-CN"/>
        </w:rPr>
        <w:t>76</w:t>
      </w:r>
      <w:r>
        <w:rPr>
          <w:rFonts w:hint="eastAsia"/>
        </w:rPr>
        <w:t>分）</w:t>
      </w:r>
      <w:bookmarkEnd w:id="57"/>
      <w:bookmarkEnd w:id="58"/>
    </w:p>
    <w:p>
      <w:pPr>
        <w:kinsoku/>
        <w:wordWrap/>
        <w:overflowPunct/>
        <w:topLinePunct w:val="0"/>
        <w:autoSpaceDE/>
        <w:autoSpaceDN/>
        <w:bidi w:val="0"/>
        <w:adjustRightInd/>
        <w:snapToGrid/>
        <w:spacing w:line="360" w:lineRule="auto"/>
        <w:ind w:firstLine="640"/>
        <w:textAlignment w:val="auto"/>
      </w:pPr>
      <w:r>
        <w:rPr>
          <w:rFonts w:hint="eastAsia"/>
        </w:rPr>
        <w:t>本项目共设置</w:t>
      </w:r>
      <w:r>
        <w:rPr>
          <w:rFonts w:hint="eastAsia"/>
          <w:lang w:val="en-US" w:eastAsia="zh-CN"/>
        </w:rPr>
        <w:t>8</w:t>
      </w:r>
      <w:r>
        <w:rPr>
          <w:rFonts w:hint="eastAsia"/>
        </w:rPr>
        <w:t>个绩效指标，完成了</w:t>
      </w:r>
      <w:r>
        <w:rPr>
          <w:rFonts w:hint="eastAsia"/>
          <w:lang w:val="en-US" w:eastAsia="zh-CN"/>
        </w:rPr>
        <w:t>6</w:t>
      </w:r>
      <w:r>
        <w:rPr>
          <w:rFonts w:hint="eastAsia"/>
        </w:rPr>
        <w:t>个。</w:t>
      </w:r>
      <w:r>
        <w:t xml:space="preserve"> </w:t>
      </w:r>
    </w:p>
    <w:p>
      <w:pPr>
        <w:kinsoku/>
        <w:wordWrap/>
        <w:overflowPunct/>
        <w:topLinePunct w:val="0"/>
        <w:autoSpaceDE/>
        <w:autoSpaceDN/>
        <w:bidi w:val="0"/>
        <w:adjustRightInd/>
        <w:snapToGrid/>
        <w:spacing w:line="360" w:lineRule="auto"/>
        <w:ind w:firstLine="640"/>
        <w:textAlignment w:val="auto"/>
      </w:pPr>
      <w:r>
        <w:rPr>
          <w:rFonts w:hint="eastAsia"/>
        </w:rPr>
        <w:t>（</w:t>
      </w:r>
      <w:r>
        <w:t>1</w:t>
      </w:r>
      <w:r>
        <w:rPr>
          <w:rFonts w:hint="eastAsia"/>
        </w:rPr>
        <w:t>）产出指标完成情况分析（满分40分，得分</w:t>
      </w:r>
      <w:r>
        <w:rPr>
          <w:rFonts w:hint="eastAsia"/>
          <w:lang w:val="en-US" w:eastAsia="zh-CN"/>
        </w:rPr>
        <w:t>36</w:t>
      </w:r>
      <w:r>
        <w:rPr>
          <w:rFonts w:hint="eastAsia"/>
        </w:rPr>
        <w:t>分）</w:t>
      </w:r>
    </w:p>
    <w:p>
      <w:pPr>
        <w:kinsoku/>
        <w:wordWrap/>
        <w:overflowPunct/>
        <w:topLinePunct w:val="0"/>
        <w:autoSpaceDE/>
        <w:autoSpaceDN/>
        <w:bidi w:val="0"/>
        <w:adjustRightInd/>
        <w:snapToGrid/>
        <w:spacing w:line="360" w:lineRule="auto"/>
        <w:ind w:firstLine="640"/>
        <w:textAlignment w:val="auto"/>
      </w:pPr>
      <w:r>
        <w:rPr>
          <w:rFonts w:hint="eastAsia"/>
        </w:rPr>
        <w:t>①</w:t>
      </w:r>
      <w:r>
        <w:t>借用、聘用人员出勤到位率</w:t>
      </w:r>
      <w:r>
        <w:rPr>
          <w:rFonts w:hint="eastAsia"/>
        </w:rPr>
        <w:t>：</w:t>
      </w:r>
      <w:r>
        <w:t>满分</w:t>
      </w:r>
      <w:r>
        <w:rPr>
          <w:rFonts w:hint="eastAsia"/>
          <w:lang w:val="en-US" w:eastAsia="zh-CN"/>
        </w:rPr>
        <w:t>8</w:t>
      </w:r>
      <w:r>
        <w:t>分，得分</w:t>
      </w:r>
      <w:r>
        <w:rPr>
          <w:rFonts w:hint="eastAsia"/>
          <w:lang w:val="en-US" w:eastAsia="zh-CN"/>
        </w:rPr>
        <w:t>6</w:t>
      </w:r>
      <w:r>
        <w:t>分</w:t>
      </w:r>
    </w:p>
    <w:p>
      <w:pPr>
        <w:pStyle w:val="2"/>
        <w:kinsoku/>
        <w:wordWrap/>
        <w:overflowPunct/>
        <w:topLinePunct w:val="0"/>
        <w:autoSpaceDE/>
        <w:autoSpaceDN/>
        <w:bidi w:val="0"/>
        <w:adjustRightInd/>
        <w:snapToGrid/>
        <w:spacing w:after="0" w:line="360" w:lineRule="auto"/>
        <w:textAlignment w:val="auto"/>
        <w:rPr>
          <w:rFonts w:hint="default" w:eastAsia="仿宋"/>
          <w:lang w:val="en-US" w:eastAsia="zh-CN"/>
        </w:rPr>
      </w:pPr>
      <w:r>
        <w:rPr>
          <w:rFonts w:hint="eastAsia"/>
          <w:lang w:val="en-US" w:eastAsia="zh-CN"/>
        </w:rPr>
        <w:t>目标为结余、聘用人员出勤到位率95人。2022年政务外包服务平均每月到岗人数73人，其中特发人员平均54人/月，国有企业借用人员平均19人/月，部分指标目标未完成。</w:t>
      </w:r>
    </w:p>
    <w:p>
      <w:pPr>
        <w:kinsoku/>
        <w:wordWrap/>
        <w:overflowPunct/>
        <w:topLinePunct w:val="0"/>
        <w:autoSpaceDE/>
        <w:autoSpaceDN/>
        <w:bidi w:val="0"/>
        <w:adjustRightInd/>
        <w:snapToGrid/>
        <w:spacing w:line="360" w:lineRule="auto"/>
        <w:ind w:firstLine="640"/>
        <w:textAlignment w:val="auto"/>
      </w:pPr>
      <w:r>
        <w:rPr>
          <w:rFonts w:hint="eastAsia"/>
        </w:rPr>
        <w:t>②</w:t>
      </w:r>
      <w:r>
        <w:rPr>
          <w:rFonts w:hint="eastAsia"/>
          <w:lang w:val="en-US" w:eastAsia="zh-CN"/>
        </w:rPr>
        <w:t>绩效考核频率</w:t>
      </w:r>
      <w:r>
        <w:rPr>
          <w:rFonts w:hint="eastAsia"/>
        </w:rPr>
        <w:t>：</w:t>
      </w:r>
      <w:r>
        <w:t>满分</w:t>
      </w:r>
      <w:r>
        <w:rPr>
          <w:rFonts w:hint="eastAsia"/>
          <w:lang w:val="en-US" w:eastAsia="zh-CN"/>
        </w:rPr>
        <w:t>8</w:t>
      </w:r>
      <w:r>
        <w:t>分，得分</w:t>
      </w:r>
      <w:r>
        <w:rPr>
          <w:rFonts w:hint="eastAsia"/>
          <w:lang w:val="en-US" w:eastAsia="zh-CN"/>
        </w:rPr>
        <w:t>6</w:t>
      </w:r>
      <w:r>
        <w:t>分</w:t>
      </w:r>
    </w:p>
    <w:p>
      <w:pPr>
        <w:pStyle w:val="2"/>
        <w:kinsoku/>
        <w:wordWrap/>
        <w:overflowPunct/>
        <w:topLinePunct w:val="0"/>
        <w:autoSpaceDE/>
        <w:autoSpaceDN/>
        <w:bidi w:val="0"/>
        <w:adjustRightInd/>
        <w:snapToGrid/>
        <w:spacing w:after="0" w:line="360" w:lineRule="auto"/>
        <w:ind w:firstLine="640"/>
        <w:textAlignment w:val="auto"/>
        <w:rPr>
          <w:rFonts w:hint="eastAsia"/>
          <w:lang w:val="en-US" w:eastAsia="zh-CN"/>
        </w:rPr>
      </w:pPr>
      <w:r>
        <w:rPr>
          <w:rFonts w:hint="eastAsia"/>
          <w:lang w:val="en-US" w:eastAsia="zh-CN"/>
        </w:rPr>
        <w:t>目标为绩效考核频率1次/月。2022年政务服务外包项目用工单位对服务人员每月考核一次，年终考核一次；国有企业借用人员每半年考核一次，年终总考核，部分指标未完成。</w:t>
      </w:r>
    </w:p>
    <w:p>
      <w:pPr>
        <w:kinsoku/>
        <w:wordWrap/>
        <w:overflowPunct/>
        <w:topLinePunct w:val="0"/>
        <w:autoSpaceDE/>
        <w:autoSpaceDN/>
        <w:bidi w:val="0"/>
        <w:adjustRightInd/>
        <w:snapToGrid/>
        <w:spacing w:line="360" w:lineRule="auto"/>
        <w:ind w:firstLine="640"/>
        <w:textAlignment w:val="auto"/>
        <w:rPr>
          <w:rFonts w:hint="eastAsia"/>
          <w:lang w:val="en-US" w:eastAsia="zh-CN"/>
        </w:rPr>
      </w:pPr>
      <w:r>
        <w:rPr>
          <w:rFonts w:hint="eastAsia"/>
          <w:lang w:val="en-US" w:eastAsia="zh-CN"/>
        </w:rPr>
        <w:t>③绩效考核合格率：满分8分，得分8分</w:t>
      </w:r>
    </w:p>
    <w:p>
      <w:pPr>
        <w:pStyle w:val="2"/>
        <w:kinsoku/>
        <w:wordWrap/>
        <w:overflowPunct/>
        <w:topLinePunct w:val="0"/>
        <w:autoSpaceDE/>
        <w:autoSpaceDN/>
        <w:bidi w:val="0"/>
        <w:adjustRightInd/>
        <w:snapToGrid/>
        <w:spacing w:after="0" w:line="360" w:lineRule="auto"/>
        <w:textAlignment w:val="auto"/>
        <w:rPr>
          <w:rFonts w:hint="default"/>
          <w:lang w:val="en-US" w:eastAsia="zh-CN"/>
        </w:rPr>
      </w:pPr>
      <w:r>
        <w:rPr>
          <w:rFonts w:hint="eastAsia"/>
          <w:lang w:val="en-US" w:eastAsia="zh-CN"/>
        </w:rPr>
        <w:t>目标为绩效考核合格率≥95%。2022年在岗人员考核全部合格，绩效考核合格率100%，完成目标。</w:t>
      </w:r>
    </w:p>
    <w:p>
      <w:pPr>
        <w:pStyle w:val="2"/>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④绩效考核优秀率：满分8分，得分8分</w:t>
      </w:r>
    </w:p>
    <w:p>
      <w:pPr>
        <w:pStyle w:val="2"/>
        <w:kinsoku/>
        <w:wordWrap/>
        <w:overflowPunct/>
        <w:topLinePunct w:val="0"/>
        <w:autoSpaceDE/>
        <w:autoSpaceDN/>
        <w:bidi w:val="0"/>
        <w:adjustRightInd/>
        <w:snapToGrid/>
        <w:spacing w:after="0" w:line="360" w:lineRule="auto"/>
        <w:textAlignment w:val="auto"/>
        <w:rPr>
          <w:rFonts w:hint="default"/>
          <w:lang w:val="en-US" w:eastAsia="zh-CN"/>
        </w:rPr>
      </w:pPr>
      <w:r>
        <w:rPr>
          <w:rFonts w:hint="eastAsia"/>
          <w:lang w:val="en-US" w:eastAsia="zh-CN"/>
        </w:rPr>
        <w:t>目标为绩效考核优秀率≥20%。2022年区住建局按照绩效考核管理办法，对人员进行考核，绩效考核优秀率达20%，完成目标。</w:t>
      </w:r>
    </w:p>
    <w:p>
      <w:pPr>
        <w:pStyle w:val="2"/>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⑤时效指标：满分8分，得分8分</w:t>
      </w:r>
    </w:p>
    <w:p>
      <w:pPr>
        <w:pStyle w:val="2"/>
        <w:kinsoku/>
        <w:wordWrap/>
        <w:overflowPunct/>
        <w:topLinePunct w:val="0"/>
        <w:autoSpaceDE/>
        <w:autoSpaceDN/>
        <w:bidi w:val="0"/>
        <w:adjustRightInd/>
        <w:snapToGrid/>
        <w:spacing w:after="0" w:line="360" w:lineRule="auto"/>
        <w:textAlignment w:val="auto"/>
        <w:rPr>
          <w:rFonts w:hint="eastAsia"/>
          <w:lang w:val="en-US" w:eastAsia="zh-CN"/>
        </w:rPr>
      </w:pPr>
      <w:r>
        <w:rPr>
          <w:rFonts w:hint="eastAsia"/>
          <w:lang w:val="en-US" w:eastAsia="zh-CN"/>
        </w:rPr>
        <w:t>在规定时间内完成各项专项工作：满分8分，得分8分。</w:t>
      </w:r>
    </w:p>
    <w:p>
      <w:pPr>
        <w:pStyle w:val="2"/>
        <w:kinsoku/>
        <w:wordWrap/>
        <w:overflowPunct/>
        <w:topLinePunct w:val="0"/>
        <w:autoSpaceDE/>
        <w:autoSpaceDN/>
        <w:bidi w:val="0"/>
        <w:adjustRightInd/>
        <w:snapToGrid/>
        <w:spacing w:after="0" w:line="360" w:lineRule="auto"/>
        <w:textAlignment w:val="auto"/>
        <w:rPr>
          <w:rFonts w:hint="default"/>
          <w:lang w:val="en-US" w:eastAsia="zh-CN"/>
        </w:rPr>
      </w:pPr>
      <w:r>
        <w:rPr>
          <w:rFonts w:hint="eastAsia"/>
          <w:lang w:val="en-US" w:eastAsia="zh-CN"/>
        </w:rPr>
        <w:t>2022年借用、聘用人员均在规定时间内完成岗位工作任务，完成目标。</w:t>
      </w:r>
    </w:p>
    <w:p>
      <w:pPr>
        <w:kinsoku/>
        <w:wordWrap/>
        <w:overflowPunct/>
        <w:topLinePunct w:val="0"/>
        <w:autoSpaceDE/>
        <w:autoSpaceDN/>
        <w:bidi w:val="0"/>
        <w:adjustRightInd/>
        <w:snapToGrid/>
        <w:spacing w:line="360" w:lineRule="auto"/>
        <w:ind w:firstLine="640"/>
        <w:textAlignment w:val="auto"/>
      </w:pPr>
      <w:r>
        <w:rPr>
          <w:rFonts w:hint="eastAsia"/>
        </w:rPr>
        <w:t>（2）效益指标完成情况分析（满分30分，得分</w:t>
      </w:r>
      <w:r>
        <w:rPr>
          <w:rFonts w:hint="eastAsia"/>
          <w:lang w:val="en-US" w:eastAsia="zh-CN"/>
        </w:rPr>
        <w:t>30</w:t>
      </w:r>
      <w:r>
        <w:rPr>
          <w:rFonts w:hint="eastAsia"/>
        </w:rPr>
        <w:t>分）</w:t>
      </w:r>
    </w:p>
    <w:p>
      <w:pPr>
        <w:pStyle w:val="2"/>
        <w:kinsoku/>
        <w:wordWrap/>
        <w:overflowPunct/>
        <w:topLinePunct w:val="0"/>
        <w:autoSpaceDE/>
        <w:autoSpaceDN/>
        <w:bidi w:val="0"/>
        <w:adjustRightInd/>
        <w:snapToGrid/>
        <w:spacing w:after="0" w:line="360" w:lineRule="auto"/>
        <w:ind w:firstLine="640"/>
        <w:textAlignment w:val="auto"/>
        <w:rPr>
          <w:rFonts w:hint="eastAsia"/>
          <w:lang w:val="en-US" w:eastAsia="zh-CN"/>
        </w:rPr>
      </w:pPr>
      <w:r>
        <w:rPr>
          <w:rFonts w:hint="eastAsia"/>
        </w:rPr>
        <w:t>①推进城建交通重点项目、重要工作</w:t>
      </w:r>
      <w:r>
        <w:rPr>
          <w:rFonts w:hint="eastAsia"/>
          <w:lang w:val="en-US" w:eastAsia="zh-CN"/>
        </w:rPr>
        <w:t>全面完成：满分15分，得分15分</w:t>
      </w:r>
    </w:p>
    <w:p>
      <w:pPr>
        <w:pStyle w:val="2"/>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目标为推进城建交通重点项目、重要工作全面完成，2022年区住建局聚焦建设”经开新区.军山新城”发展战略，推动经开区经济社会和住建事业高质量发展,完成目标。</w:t>
      </w:r>
    </w:p>
    <w:p>
      <w:pPr>
        <w:kinsoku/>
        <w:wordWrap/>
        <w:overflowPunct/>
        <w:topLinePunct w:val="0"/>
        <w:autoSpaceDE/>
        <w:autoSpaceDN/>
        <w:bidi w:val="0"/>
        <w:adjustRightInd/>
        <w:snapToGrid/>
        <w:spacing w:line="360" w:lineRule="auto"/>
        <w:ind w:firstLine="640"/>
        <w:textAlignment w:val="auto"/>
      </w:pPr>
      <w:r>
        <w:rPr>
          <w:rFonts w:hint="eastAsia"/>
        </w:rPr>
        <w:t>②服务标准提升度：满分</w:t>
      </w:r>
      <w:r>
        <w:rPr>
          <w:rFonts w:hint="eastAsia"/>
          <w:lang w:val="en-US" w:eastAsia="zh-CN"/>
        </w:rPr>
        <w:t>15</w:t>
      </w:r>
      <w:r>
        <w:rPr>
          <w:rFonts w:hint="eastAsia"/>
        </w:rPr>
        <w:t>分，得分</w:t>
      </w:r>
      <w:r>
        <w:rPr>
          <w:rFonts w:hint="eastAsia"/>
          <w:lang w:val="en-US" w:eastAsia="zh-CN"/>
        </w:rPr>
        <w:t>15</w:t>
      </w:r>
      <w:r>
        <w:rPr>
          <w:rFonts w:hint="eastAsia"/>
        </w:rPr>
        <w:t>分</w:t>
      </w:r>
    </w:p>
    <w:p>
      <w:pPr>
        <w:pStyle w:val="2"/>
        <w:kinsoku/>
        <w:wordWrap/>
        <w:overflowPunct/>
        <w:topLinePunct w:val="0"/>
        <w:autoSpaceDE/>
        <w:autoSpaceDN/>
        <w:bidi w:val="0"/>
        <w:adjustRightInd/>
        <w:snapToGrid/>
        <w:spacing w:after="0" w:line="360" w:lineRule="auto"/>
        <w:ind w:firstLine="640"/>
        <w:textAlignment w:val="auto"/>
        <w:rPr>
          <w:rFonts w:hint="default" w:eastAsia="仿宋"/>
          <w:lang w:val="en-US" w:eastAsia="zh-CN"/>
        </w:rPr>
      </w:pPr>
      <w:r>
        <w:rPr>
          <w:rFonts w:hint="eastAsia"/>
          <w:lang w:val="en-US" w:eastAsia="zh-CN"/>
        </w:rPr>
        <w:t>目标为提升</w:t>
      </w:r>
      <w:r>
        <w:rPr>
          <w:rFonts w:hint="eastAsia"/>
        </w:rPr>
        <w:t>服务标准，</w:t>
      </w:r>
      <w:r>
        <w:rPr>
          <w:rFonts w:hint="eastAsia"/>
          <w:lang w:val="en-US" w:eastAsia="zh-CN"/>
        </w:rPr>
        <w:t>提高</w:t>
      </w:r>
      <w:r>
        <w:rPr>
          <w:rFonts w:hint="eastAsia"/>
        </w:rPr>
        <w:t>服务水平</w:t>
      </w:r>
      <w:r>
        <w:rPr>
          <w:rFonts w:hint="eastAsia"/>
          <w:lang w:eastAsia="zh-CN"/>
        </w:rPr>
        <w:t>。</w:t>
      </w:r>
      <w:r>
        <w:rPr>
          <w:rFonts w:hint="eastAsia"/>
          <w:lang w:val="en-US" w:eastAsia="zh-CN"/>
        </w:rPr>
        <w:t>2022年区住建局开展双评议工作，切实助力服务标准提升，服务水平提高，</w:t>
      </w:r>
      <w:r>
        <w:rPr>
          <w:rFonts w:hint="eastAsia"/>
        </w:rPr>
        <w:t>促进建设交通事业全面发展</w:t>
      </w:r>
      <w:r>
        <w:rPr>
          <w:rFonts w:hint="eastAsia"/>
          <w:lang w:eastAsia="zh-CN"/>
        </w:rPr>
        <w:t>，</w:t>
      </w:r>
      <w:r>
        <w:rPr>
          <w:rFonts w:hint="eastAsia"/>
          <w:lang w:val="en-US" w:eastAsia="zh-CN"/>
        </w:rPr>
        <w:t>完成目标。</w:t>
      </w:r>
    </w:p>
    <w:p>
      <w:pPr>
        <w:kinsoku/>
        <w:wordWrap/>
        <w:overflowPunct/>
        <w:topLinePunct w:val="0"/>
        <w:autoSpaceDE/>
        <w:autoSpaceDN/>
        <w:bidi w:val="0"/>
        <w:adjustRightInd/>
        <w:snapToGrid/>
        <w:spacing w:line="360" w:lineRule="auto"/>
        <w:ind w:firstLine="640"/>
        <w:textAlignment w:val="auto"/>
      </w:pPr>
      <w:r>
        <w:rPr>
          <w:rFonts w:hint="eastAsia"/>
          <w:lang w:val="en-US" w:eastAsia="zh-CN"/>
        </w:rPr>
        <w:t>③服务对象满意度</w:t>
      </w:r>
      <w:r>
        <w:rPr>
          <w:rFonts w:hint="eastAsia"/>
        </w:rPr>
        <w:t>（满分</w:t>
      </w:r>
      <w:r>
        <w:rPr>
          <w:rFonts w:hint="eastAsia"/>
          <w:lang w:val="en-US" w:eastAsia="zh-CN"/>
        </w:rPr>
        <w:t>10</w:t>
      </w:r>
      <w:r>
        <w:rPr>
          <w:rFonts w:hint="eastAsia"/>
        </w:rPr>
        <w:t>分，得分</w:t>
      </w:r>
      <w:r>
        <w:rPr>
          <w:rFonts w:hint="eastAsia"/>
          <w:lang w:val="en-US" w:eastAsia="zh-CN"/>
        </w:rPr>
        <w:t>10</w:t>
      </w:r>
      <w:r>
        <w:rPr>
          <w:rFonts w:hint="eastAsia"/>
        </w:rPr>
        <w:t>分）</w:t>
      </w:r>
    </w:p>
    <w:bookmarkEnd w:id="59"/>
    <w:bookmarkEnd w:id="60"/>
    <w:bookmarkEnd w:id="61"/>
    <w:bookmarkEnd w:id="62"/>
    <w:bookmarkEnd w:id="63"/>
    <w:bookmarkEnd w:id="64"/>
    <w:p>
      <w:pPr>
        <w:pStyle w:val="2"/>
        <w:kinsoku/>
        <w:wordWrap/>
        <w:overflowPunct/>
        <w:topLinePunct w:val="0"/>
        <w:autoSpaceDE/>
        <w:autoSpaceDN/>
        <w:bidi w:val="0"/>
        <w:adjustRightInd/>
        <w:snapToGrid/>
        <w:spacing w:after="0" w:line="360" w:lineRule="auto"/>
        <w:ind w:firstLine="640"/>
        <w:textAlignment w:val="auto"/>
        <w:rPr>
          <w:rFonts w:hint="default" w:ascii="Times New Roman" w:hAnsi="Times New Roman" w:cs="宋体"/>
          <w:lang w:val="en-US" w:eastAsia="zh-CN"/>
        </w:rPr>
      </w:pPr>
      <w:bookmarkStart w:id="65" w:name="_Toc22377"/>
      <w:bookmarkStart w:id="66" w:name="_Toc10960"/>
      <w:bookmarkStart w:id="67" w:name="_Toc10988"/>
      <w:bookmarkStart w:id="68" w:name="_Toc1551"/>
      <w:bookmarkStart w:id="69" w:name="_Toc14821"/>
      <w:r>
        <w:rPr>
          <w:rFonts w:hint="eastAsia" w:ascii="Times New Roman" w:hAnsi="Times New Roman" w:cs="宋体"/>
          <w:lang w:val="en-US" w:eastAsia="zh-CN"/>
        </w:rPr>
        <w:t>目标为服务对象满意度≥95%。2022年根据评议工作结果，群众满意度为98%，完成目标。</w:t>
      </w:r>
    </w:p>
    <w:p>
      <w:pPr>
        <w:pStyle w:val="4"/>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highlight w:val="yellow"/>
        </w:rPr>
      </w:pPr>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65"/>
      <w:bookmarkEnd w:id="66"/>
      <w:bookmarkEnd w:id="67"/>
      <w:bookmarkEnd w:id="68"/>
      <w:bookmarkEnd w:id="69"/>
    </w:p>
    <w:p>
      <w:pPr>
        <w:kinsoku/>
        <w:wordWrap/>
        <w:overflowPunct/>
        <w:topLinePunct w:val="0"/>
        <w:autoSpaceDE/>
        <w:autoSpaceDN/>
        <w:bidi w:val="0"/>
        <w:adjustRightInd/>
        <w:snapToGrid/>
        <w:spacing w:line="360" w:lineRule="auto"/>
        <w:ind w:firstLine="640"/>
        <w:textAlignment w:val="auto"/>
        <w:rPr>
          <w:rFonts w:hint="default"/>
          <w:bCs/>
          <w:szCs w:val="32"/>
          <w:lang w:val="en-US" w:eastAsia="zh-CN"/>
        </w:rPr>
      </w:pPr>
      <w:bookmarkStart w:id="70" w:name="_Toc14383"/>
      <w:bookmarkStart w:id="71" w:name="_Toc24560"/>
      <w:bookmarkStart w:id="72" w:name="_Toc21534"/>
      <w:bookmarkStart w:id="73" w:name="_Toc17717"/>
      <w:r>
        <w:rPr>
          <w:rFonts w:hint="eastAsia"/>
          <w:bCs/>
          <w:szCs w:val="32"/>
          <w:lang w:val="en-US" w:eastAsia="zh-CN"/>
        </w:rPr>
        <w:t>本项目上年度实施了绩效自评并形成了项目自评表及项目自评报告。通过上年度的绩效自评工作，规范了绩效指标得“指标内容”和“指标值”的填写，例如：数量指标的内容表述为“绩效考核频率</w:t>
      </w:r>
      <w:r>
        <w:rPr>
          <w:rFonts w:hint="default"/>
          <w:bCs/>
          <w:szCs w:val="32"/>
          <w:lang w:val="en-US" w:eastAsia="zh-CN"/>
        </w:rPr>
        <w:t>”</w:t>
      </w:r>
      <w:r>
        <w:rPr>
          <w:rFonts w:hint="eastAsia"/>
          <w:bCs/>
          <w:szCs w:val="32"/>
          <w:lang w:val="en-US" w:eastAsia="zh-CN"/>
        </w:rPr>
        <w:t>，量化了考核内容。</w:t>
      </w:r>
    </w:p>
    <w:p>
      <w:pPr>
        <w:pStyle w:val="4"/>
        <w:shd w:val="clear" w:color="auto" w:fill="FFFFFF" w:themeFill="background1"/>
        <w:kinsoku/>
        <w:wordWrap/>
        <w:overflowPunct/>
        <w:topLinePunct w:val="0"/>
        <w:autoSpaceDE/>
        <w:autoSpaceDN/>
        <w:bidi w:val="0"/>
        <w:adjustRightInd/>
        <w:snapToGrid/>
        <w:spacing w:before="0" w:after="0" w:line="360" w:lineRule="auto"/>
        <w:ind w:firstLine="643"/>
        <w:contextualSpacing/>
        <w:jc w:val="left"/>
        <w:textAlignment w:val="auto"/>
        <w:rPr>
          <w:rFonts w:ascii="Times New Roman" w:hAnsi="Times New Roman" w:eastAsia="楷体" w:cs="Times New Roman"/>
        </w:rPr>
      </w:pPr>
      <w:r>
        <w:rPr>
          <w:rFonts w:hint="eastAsia" w:ascii="Times New Roman" w:hAnsi="Times New Roman" w:eastAsia="楷体" w:cs="Times New Roman"/>
        </w:rPr>
        <w:t>（五）其他佐证材料</w:t>
      </w:r>
      <w:bookmarkEnd w:id="70"/>
      <w:bookmarkEnd w:id="71"/>
      <w:bookmarkEnd w:id="72"/>
      <w:bookmarkEnd w:id="73"/>
    </w:p>
    <w:p>
      <w:pPr>
        <w:shd w:val="clear" w:color="auto" w:fill="FFFFFF" w:themeFill="background1"/>
        <w:kinsoku/>
        <w:wordWrap/>
        <w:overflowPunct/>
        <w:topLinePunct w:val="0"/>
        <w:autoSpaceDE/>
        <w:autoSpaceDN/>
        <w:bidi w:val="0"/>
        <w:adjustRightInd/>
        <w:snapToGrid/>
        <w:spacing w:line="360" w:lineRule="auto"/>
        <w:ind w:firstLine="640"/>
        <w:textAlignment w:val="auto"/>
        <w:rPr>
          <w:rFonts w:cs="Times New Roman"/>
          <w:color w:val="auto"/>
          <w:kern w:val="0"/>
          <w:szCs w:val="32"/>
        </w:rPr>
      </w:pPr>
      <w:r>
        <w:rPr>
          <w:rFonts w:hint="eastAsia" w:cs="Times New Roman"/>
          <w:color w:val="auto"/>
          <w:kern w:val="0"/>
          <w:szCs w:val="32"/>
        </w:rPr>
        <w:t>无。</w:t>
      </w:r>
    </w:p>
    <w:p>
      <w:pPr>
        <w:shd w:val="clear" w:color="auto" w:fill="FFFFFF" w:themeFill="background1"/>
        <w:kinsoku/>
        <w:wordWrap/>
        <w:overflowPunct/>
        <w:topLinePunct w:val="0"/>
        <w:autoSpaceDE/>
        <w:autoSpaceDN/>
        <w:bidi w:val="0"/>
        <w:adjustRightInd/>
        <w:snapToGrid/>
        <w:spacing w:line="360" w:lineRule="auto"/>
        <w:ind w:firstLine="640"/>
        <w:jc w:val="right"/>
        <w:textAlignment w:val="auto"/>
        <w:rPr>
          <w:rFonts w:hint="default" w:eastAsia="仿宋" w:cs="Times New Roman"/>
          <w:bCs/>
          <w:color w:val="auto"/>
          <w:szCs w:val="32"/>
          <w:lang w:val="en-US" w:eastAsia="zh-CN"/>
        </w:rPr>
      </w:pPr>
      <w:bookmarkStart w:id="74" w:name="_Toc32181"/>
      <w:bookmarkStart w:id="75" w:name="_Toc20783"/>
      <w:bookmarkStart w:id="76" w:name="_Toc32555"/>
      <w:r>
        <w:rPr>
          <w:rFonts w:hint="eastAsia" w:cs="Times New Roman"/>
          <w:bCs/>
          <w:color w:val="auto"/>
          <w:szCs w:val="32"/>
        </w:rPr>
        <w:t>武汉经济技术开发区（汉南区）</w:t>
      </w:r>
      <w:bookmarkEnd w:id="74"/>
      <w:bookmarkEnd w:id="75"/>
      <w:bookmarkEnd w:id="76"/>
      <w:r>
        <w:rPr>
          <w:rFonts w:hint="eastAsia" w:cs="Times New Roman"/>
          <w:bCs/>
          <w:color w:val="auto"/>
          <w:szCs w:val="32"/>
          <w:lang w:val="en-US" w:eastAsia="zh-CN"/>
        </w:rPr>
        <w:t>住房和城乡建设局</w:t>
      </w:r>
    </w:p>
    <w:p>
      <w:pPr>
        <w:shd w:val="clear" w:color="auto" w:fill="FFFFFF" w:themeFill="background1"/>
        <w:kinsoku/>
        <w:wordWrap/>
        <w:overflowPunct/>
        <w:topLinePunct w:val="0"/>
        <w:autoSpaceDE/>
        <w:autoSpaceDN/>
        <w:bidi w:val="0"/>
        <w:adjustRightInd/>
        <w:snapToGrid/>
        <w:spacing w:line="360" w:lineRule="auto"/>
        <w:ind w:firstLine="640"/>
        <w:jc w:val="right"/>
        <w:textAlignment w:val="auto"/>
        <w:rPr>
          <w:rFonts w:hint="eastAsia" w:ascii="Times New Roman" w:hAnsi="Times New Roman" w:cs="Times New Roman"/>
          <w:bCs/>
          <w:color w:val="auto"/>
          <w:szCs w:val="32"/>
        </w:rPr>
      </w:pPr>
      <w:bookmarkStart w:id="77" w:name="_Toc27968"/>
      <w:bookmarkStart w:id="78" w:name="_Toc2569"/>
      <w:bookmarkStart w:id="79" w:name="_Toc6034"/>
      <w:r>
        <w:rPr>
          <w:rFonts w:hint="eastAsia" w:ascii="Times New Roman" w:hAnsi="Times New Roman" w:cs="Times New Roman"/>
          <w:bCs/>
          <w:color w:val="auto"/>
          <w:szCs w:val="32"/>
        </w:rPr>
        <w:t>202</w:t>
      </w:r>
      <w:r>
        <w:rPr>
          <w:rFonts w:hint="eastAsia" w:ascii="Times New Roman" w:hAnsi="Times New Roman" w:cs="Times New Roman"/>
          <w:bCs/>
          <w:color w:val="auto"/>
          <w:szCs w:val="32"/>
          <w:lang w:val="en-US" w:eastAsia="zh-CN"/>
        </w:rPr>
        <w:t>3</w:t>
      </w:r>
      <w:r>
        <w:rPr>
          <w:rFonts w:hint="eastAsia" w:ascii="Times New Roman" w:hAnsi="Times New Roman" w:cs="Times New Roman"/>
          <w:bCs/>
          <w:color w:val="auto"/>
          <w:szCs w:val="32"/>
        </w:rPr>
        <w:t>年</w:t>
      </w:r>
      <w:r>
        <w:rPr>
          <w:rFonts w:hint="eastAsia" w:ascii="Times New Roman" w:hAnsi="Times New Roman" w:cs="Times New Roman"/>
          <w:bCs/>
          <w:color w:val="auto"/>
          <w:szCs w:val="32"/>
          <w:lang w:val="en-US" w:eastAsia="zh-CN"/>
        </w:rPr>
        <w:t>4</w:t>
      </w:r>
      <w:r>
        <w:rPr>
          <w:rFonts w:hint="eastAsia" w:ascii="Times New Roman" w:hAnsi="Times New Roman" w:cs="Times New Roman"/>
          <w:bCs/>
          <w:color w:val="auto"/>
          <w:szCs w:val="32"/>
        </w:rPr>
        <w:t>月</w:t>
      </w:r>
      <w:r>
        <w:rPr>
          <w:rFonts w:hint="eastAsia" w:ascii="Times New Roman" w:hAnsi="Times New Roman" w:cs="Times New Roman"/>
          <w:bCs/>
          <w:color w:val="auto"/>
          <w:szCs w:val="32"/>
          <w:lang w:val="en-US" w:eastAsia="zh-CN"/>
        </w:rPr>
        <w:t>20</w:t>
      </w:r>
      <w:r>
        <w:rPr>
          <w:rFonts w:hint="eastAsia" w:ascii="Times New Roman" w:hAnsi="Times New Roman" w:cs="Times New Roman"/>
          <w:bCs/>
          <w:color w:val="auto"/>
          <w:szCs w:val="32"/>
        </w:rPr>
        <w:t>日</w:t>
      </w:r>
      <w:bookmarkEnd w:id="77"/>
      <w:bookmarkEnd w:id="78"/>
      <w:bookmarkEnd w:id="79"/>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docPartObj>
        <w:docPartGallery w:val="autotext"/>
      </w:docPartObj>
    </w:sdtPr>
    <w:sdtContent>
      <w:p>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A77D4"/>
    <w:multiLevelType w:val="singleLevel"/>
    <w:tmpl w:val="E71A77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mMDE5MmVhMGM5YjJmZDI0OWU5NDNiYzU3MmIzMzkifQ=="/>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074"/>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76F1"/>
    <w:rsid w:val="00183400"/>
    <w:rsid w:val="00186A63"/>
    <w:rsid w:val="00190AB0"/>
    <w:rsid w:val="00192AE2"/>
    <w:rsid w:val="001935A2"/>
    <w:rsid w:val="00197D40"/>
    <w:rsid w:val="001A7916"/>
    <w:rsid w:val="001B4692"/>
    <w:rsid w:val="001B4A5E"/>
    <w:rsid w:val="001C2273"/>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17595"/>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64AD0"/>
    <w:rsid w:val="00472FE1"/>
    <w:rsid w:val="00475FC0"/>
    <w:rsid w:val="00477B52"/>
    <w:rsid w:val="00486521"/>
    <w:rsid w:val="00487AF7"/>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359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3570D"/>
    <w:rsid w:val="006363F3"/>
    <w:rsid w:val="00642CE6"/>
    <w:rsid w:val="00643314"/>
    <w:rsid w:val="0065483E"/>
    <w:rsid w:val="006553BE"/>
    <w:rsid w:val="0066309B"/>
    <w:rsid w:val="0066674C"/>
    <w:rsid w:val="0067084C"/>
    <w:rsid w:val="006721F0"/>
    <w:rsid w:val="006735E6"/>
    <w:rsid w:val="00681307"/>
    <w:rsid w:val="00682606"/>
    <w:rsid w:val="006835DD"/>
    <w:rsid w:val="006841B6"/>
    <w:rsid w:val="006868DB"/>
    <w:rsid w:val="00695974"/>
    <w:rsid w:val="006A077A"/>
    <w:rsid w:val="006A0F96"/>
    <w:rsid w:val="006A4D2C"/>
    <w:rsid w:val="006B0900"/>
    <w:rsid w:val="006B32E0"/>
    <w:rsid w:val="006C1A51"/>
    <w:rsid w:val="006D0151"/>
    <w:rsid w:val="006D1AA1"/>
    <w:rsid w:val="006E2E4B"/>
    <w:rsid w:val="006E6118"/>
    <w:rsid w:val="006F0B86"/>
    <w:rsid w:val="006F1735"/>
    <w:rsid w:val="006F563D"/>
    <w:rsid w:val="0070143B"/>
    <w:rsid w:val="007140F3"/>
    <w:rsid w:val="00723325"/>
    <w:rsid w:val="00726383"/>
    <w:rsid w:val="007270A2"/>
    <w:rsid w:val="0072752E"/>
    <w:rsid w:val="00727DCF"/>
    <w:rsid w:val="00734427"/>
    <w:rsid w:val="00735568"/>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1D95"/>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95E49"/>
    <w:rsid w:val="008A0F3D"/>
    <w:rsid w:val="008A12BD"/>
    <w:rsid w:val="008A552E"/>
    <w:rsid w:val="008B112E"/>
    <w:rsid w:val="008B1DB5"/>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258E3"/>
    <w:rsid w:val="00C3790C"/>
    <w:rsid w:val="00C47369"/>
    <w:rsid w:val="00C53CD5"/>
    <w:rsid w:val="00C568FA"/>
    <w:rsid w:val="00C5750E"/>
    <w:rsid w:val="00C648C6"/>
    <w:rsid w:val="00C6500F"/>
    <w:rsid w:val="00C658E7"/>
    <w:rsid w:val="00C700E3"/>
    <w:rsid w:val="00C70DC3"/>
    <w:rsid w:val="00C75F6D"/>
    <w:rsid w:val="00C87899"/>
    <w:rsid w:val="00C967E8"/>
    <w:rsid w:val="00CA5E09"/>
    <w:rsid w:val="00CA6A09"/>
    <w:rsid w:val="00CB1B36"/>
    <w:rsid w:val="00CB5754"/>
    <w:rsid w:val="00CB6C48"/>
    <w:rsid w:val="00CB7449"/>
    <w:rsid w:val="00CC042B"/>
    <w:rsid w:val="00CC05EC"/>
    <w:rsid w:val="00CC24DA"/>
    <w:rsid w:val="00CD24B4"/>
    <w:rsid w:val="00CD4462"/>
    <w:rsid w:val="00CD574B"/>
    <w:rsid w:val="00CE3B76"/>
    <w:rsid w:val="00CE4EAF"/>
    <w:rsid w:val="00CF14DD"/>
    <w:rsid w:val="00CF66CD"/>
    <w:rsid w:val="00D108CF"/>
    <w:rsid w:val="00D130BF"/>
    <w:rsid w:val="00D13AAD"/>
    <w:rsid w:val="00D17911"/>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8553E"/>
    <w:rsid w:val="00D85A83"/>
    <w:rsid w:val="00D876E2"/>
    <w:rsid w:val="00D901FF"/>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2471"/>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1D0B"/>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4346"/>
    <w:rsid w:val="00F96C66"/>
    <w:rsid w:val="00FA363F"/>
    <w:rsid w:val="00FB1612"/>
    <w:rsid w:val="00FB3255"/>
    <w:rsid w:val="00FC0048"/>
    <w:rsid w:val="00FC11E7"/>
    <w:rsid w:val="00FC4218"/>
    <w:rsid w:val="00FC4D36"/>
    <w:rsid w:val="00FD738A"/>
    <w:rsid w:val="00FE0134"/>
    <w:rsid w:val="00FE7D73"/>
    <w:rsid w:val="00FF6200"/>
    <w:rsid w:val="01431C3F"/>
    <w:rsid w:val="01EA0118"/>
    <w:rsid w:val="024232A4"/>
    <w:rsid w:val="02776055"/>
    <w:rsid w:val="036E2A1F"/>
    <w:rsid w:val="03B71C58"/>
    <w:rsid w:val="044A0C1B"/>
    <w:rsid w:val="049847A1"/>
    <w:rsid w:val="04BD4A9D"/>
    <w:rsid w:val="05A95E61"/>
    <w:rsid w:val="05D26698"/>
    <w:rsid w:val="06222991"/>
    <w:rsid w:val="072A5838"/>
    <w:rsid w:val="076C23B4"/>
    <w:rsid w:val="07B079A4"/>
    <w:rsid w:val="08412974"/>
    <w:rsid w:val="084A2600"/>
    <w:rsid w:val="08604239"/>
    <w:rsid w:val="08FA61C3"/>
    <w:rsid w:val="0AC8577F"/>
    <w:rsid w:val="0C082429"/>
    <w:rsid w:val="0C3D48DB"/>
    <w:rsid w:val="0C493DF8"/>
    <w:rsid w:val="0EC57EF8"/>
    <w:rsid w:val="0EDD410B"/>
    <w:rsid w:val="0F4F4A37"/>
    <w:rsid w:val="0FB524D8"/>
    <w:rsid w:val="107C7A5F"/>
    <w:rsid w:val="10CF3D63"/>
    <w:rsid w:val="11104D3D"/>
    <w:rsid w:val="113F6C8F"/>
    <w:rsid w:val="11DA0840"/>
    <w:rsid w:val="12412ACA"/>
    <w:rsid w:val="12B742DF"/>
    <w:rsid w:val="12CA55C4"/>
    <w:rsid w:val="12EE19BE"/>
    <w:rsid w:val="13CD7F6A"/>
    <w:rsid w:val="14244852"/>
    <w:rsid w:val="14B0328A"/>
    <w:rsid w:val="14B51326"/>
    <w:rsid w:val="14CF2CB6"/>
    <w:rsid w:val="16377978"/>
    <w:rsid w:val="166A71F4"/>
    <w:rsid w:val="16971C8E"/>
    <w:rsid w:val="16DD5AF2"/>
    <w:rsid w:val="17005DDA"/>
    <w:rsid w:val="18FB0DD9"/>
    <w:rsid w:val="193F114A"/>
    <w:rsid w:val="19900D35"/>
    <w:rsid w:val="19924586"/>
    <w:rsid w:val="1B026E16"/>
    <w:rsid w:val="1B6313F3"/>
    <w:rsid w:val="1B7846C6"/>
    <w:rsid w:val="1BBE71DF"/>
    <w:rsid w:val="1C104AD4"/>
    <w:rsid w:val="1CF965EF"/>
    <w:rsid w:val="1D30098B"/>
    <w:rsid w:val="1DD76909"/>
    <w:rsid w:val="1DDF4451"/>
    <w:rsid w:val="1E050ED5"/>
    <w:rsid w:val="1E6A7BB2"/>
    <w:rsid w:val="1E782BDB"/>
    <w:rsid w:val="1F50463C"/>
    <w:rsid w:val="1F5775A2"/>
    <w:rsid w:val="1FEB3548"/>
    <w:rsid w:val="205B24B5"/>
    <w:rsid w:val="20A63291"/>
    <w:rsid w:val="20DD1F8C"/>
    <w:rsid w:val="21113084"/>
    <w:rsid w:val="21802732"/>
    <w:rsid w:val="21E8671C"/>
    <w:rsid w:val="22456C64"/>
    <w:rsid w:val="22AA3757"/>
    <w:rsid w:val="232269D1"/>
    <w:rsid w:val="232621DD"/>
    <w:rsid w:val="233738D3"/>
    <w:rsid w:val="23495265"/>
    <w:rsid w:val="236F776C"/>
    <w:rsid w:val="240759D6"/>
    <w:rsid w:val="24D4291D"/>
    <w:rsid w:val="259E2CD6"/>
    <w:rsid w:val="25BE6D0C"/>
    <w:rsid w:val="25FE4476"/>
    <w:rsid w:val="264A117F"/>
    <w:rsid w:val="26986994"/>
    <w:rsid w:val="26CB6A94"/>
    <w:rsid w:val="272F1C49"/>
    <w:rsid w:val="27435B2D"/>
    <w:rsid w:val="27944AF9"/>
    <w:rsid w:val="27DA55A6"/>
    <w:rsid w:val="2A4354D4"/>
    <w:rsid w:val="2A874D1D"/>
    <w:rsid w:val="2AAA7A11"/>
    <w:rsid w:val="2B3F79DB"/>
    <w:rsid w:val="2B545F28"/>
    <w:rsid w:val="2B585398"/>
    <w:rsid w:val="2BDA4E40"/>
    <w:rsid w:val="2C64728A"/>
    <w:rsid w:val="2C9A1AF4"/>
    <w:rsid w:val="2CD83B77"/>
    <w:rsid w:val="2D656335"/>
    <w:rsid w:val="2DFE5C6B"/>
    <w:rsid w:val="2E1E559E"/>
    <w:rsid w:val="2E5A6865"/>
    <w:rsid w:val="2E6C2F7A"/>
    <w:rsid w:val="2EA20008"/>
    <w:rsid w:val="2EC46471"/>
    <w:rsid w:val="2F9624C7"/>
    <w:rsid w:val="2FFC5966"/>
    <w:rsid w:val="305C03AC"/>
    <w:rsid w:val="307211E8"/>
    <w:rsid w:val="308C0468"/>
    <w:rsid w:val="30AB234B"/>
    <w:rsid w:val="30D1097F"/>
    <w:rsid w:val="318A2687"/>
    <w:rsid w:val="32051CD4"/>
    <w:rsid w:val="33B24FA9"/>
    <w:rsid w:val="34751EE1"/>
    <w:rsid w:val="351A2E78"/>
    <w:rsid w:val="35A63E94"/>
    <w:rsid w:val="36221461"/>
    <w:rsid w:val="362311BF"/>
    <w:rsid w:val="364F1FD2"/>
    <w:rsid w:val="364F3BF3"/>
    <w:rsid w:val="369F177E"/>
    <w:rsid w:val="36BE63C3"/>
    <w:rsid w:val="36FC2796"/>
    <w:rsid w:val="379B020E"/>
    <w:rsid w:val="37E52280"/>
    <w:rsid w:val="38B15DF3"/>
    <w:rsid w:val="38C04BD1"/>
    <w:rsid w:val="38D17E4C"/>
    <w:rsid w:val="393F4B8E"/>
    <w:rsid w:val="39AB6039"/>
    <w:rsid w:val="3A933FF4"/>
    <w:rsid w:val="3B47028A"/>
    <w:rsid w:val="3B5C7CD9"/>
    <w:rsid w:val="3CC66EE8"/>
    <w:rsid w:val="3DE701D1"/>
    <w:rsid w:val="3E6738DC"/>
    <w:rsid w:val="3F9133A5"/>
    <w:rsid w:val="40561CA7"/>
    <w:rsid w:val="42D00499"/>
    <w:rsid w:val="43941FDA"/>
    <w:rsid w:val="445C18DD"/>
    <w:rsid w:val="45590F5C"/>
    <w:rsid w:val="460E70A4"/>
    <w:rsid w:val="46222CDE"/>
    <w:rsid w:val="46252B64"/>
    <w:rsid w:val="46C82706"/>
    <w:rsid w:val="472728D9"/>
    <w:rsid w:val="47273F86"/>
    <w:rsid w:val="4868343D"/>
    <w:rsid w:val="486A0493"/>
    <w:rsid w:val="491325C4"/>
    <w:rsid w:val="49501A22"/>
    <w:rsid w:val="49BF5CB7"/>
    <w:rsid w:val="49D543D6"/>
    <w:rsid w:val="4AB942D8"/>
    <w:rsid w:val="4B2C565D"/>
    <w:rsid w:val="4B4F2176"/>
    <w:rsid w:val="4BE97ED5"/>
    <w:rsid w:val="4D223B32"/>
    <w:rsid w:val="4D5A2B1B"/>
    <w:rsid w:val="4D674B5D"/>
    <w:rsid w:val="4E7E30C1"/>
    <w:rsid w:val="4EAD4A43"/>
    <w:rsid w:val="4ECA7A01"/>
    <w:rsid w:val="4F100A39"/>
    <w:rsid w:val="4F89408D"/>
    <w:rsid w:val="4F8D54F3"/>
    <w:rsid w:val="50481668"/>
    <w:rsid w:val="506F791C"/>
    <w:rsid w:val="51D1552C"/>
    <w:rsid w:val="51EC6B3C"/>
    <w:rsid w:val="52337E49"/>
    <w:rsid w:val="52463E72"/>
    <w:rsid w:val="52713B5E"/>
    <w:rsid w:val="528303DD"/>
    <w:rsid w:val="52BF450F"/>
    <w:rsid w:val="533E2B0B"/>
    <w:rsid w:val="53D71D82"/>
    <w:rsid w:val="547B1EC7"/>
    <w:rsid w:val="55817093"/>
    <w:rsid w:val="56160E0B"/>
    <w:rsid w:val="562D65D5"/>
    <w:rsid w:val="56666088"/>
    <w:rsid w:val="56F61C90"/>
    <w:rsid w:val="57A06EA8"/>
    <w:rsid w:val="582C5A2B"/>
    <w:rsid w:val="584E3261"/>
    <w:rsid w:val="59B25DD6"/>
    <w:rsid w:val="59F344C6"/>
    <w:rsid w:val="59F80580"/>
    <w:rsid w:val="5A4448F5"/>
    <w:rsid w:val="5AD46483"/>
    <w:rsid w:val="5B145403"/>
    <w:rsid w:val="5B1D245A"/>
    <w:rsid w:val="5B373C9C"/>
    <w:rsid w:val="5B54003F"/>
    <w:rsid w:val="5C755DA0"/>
    <w:rsid w:val="5CC34962"/>
    <w:rsid w:val="5D041CFD"/>
    <w:rsid w:val="5D191A98"/>
    <w:rsid w:val="5D2428B8"/>
    <w:rsid w:val="5D755BA3"/>
    <w:rsid w:val="5DAA4A8B"/>
    <w:rsid w:val="5DB82662"/>
    <w:rsid w:val="5DE975E6"/>
    <w:rsid w:val="5F401133"/>
    <w:rsid w:val="5F5312DA"/>
    <w:rsid w:val="5F597724"/>
    <w:rsid w:val="607C0B7C"/>
    <w:rsid w:val="60996CF0"/>
    <w:rsid w:val="60BD2A31"/>
    <w:rsid w:val="60E04FB4"/>
    <w:rsid w:val="610E5498"/>
    <w:rsid w:val="61501E97"/>
    <w:rsid w:val="620D4506"/>
    <w:rsid w:val="62926680"/>
    <w:rsid w:val="62A7625B"/>
    <w:rsid w:val="63983C1A"/>
    <w:rsid w:val="63A17B15"/>
    <w:rsid w:val="63CD2F4A"/>
    <w:rsid w:val="641448F3"/>
    <w:rsid w:val="64A52EE9"/>
    <w:rsid w:val="64B3759B"/>
    <w:rsid w:val="654C12EB"/>
    <w:rsid w:val="65C94D98"/>
    <w:rsid w:val="66133574"/>
    <w:rsid w:val="66BD40A9"/>
    <w:rsid w:val="680C6882"/>
    <w:rsid w:val="69497E1D"/>
    <w:rsid w:val="695F6485"/>
    <w:rsid w:val="6AED4CFD"/>
    <w:rsid w:val="6C3872EE"/>
    <w:rsid w:val="6D467DE8"/>
    <w:rsid w:val="6D4F3181"/>
    <w:rsid w:val="6D6B39EB"/>
    <w:rsid w:val="6DE123D1"/>
    <w:rsid w:val="6E965E3F"/>
    <w:rsid w:val="6EB439B0"/>
    <w:rsid w:val="6EF41217"/>
    <w:rsid w:val="6F100F13"/>
    <w:rsid w:val="6FDF37F7"/>
    <w:rsid w:val="70456C1C"/>
    <w:rsid w:val="7148282A"/>
    <w:rsid w:val="718F3D0A"/>
    <w:rsid w:val="71CC0686"/>
    <w:rsid w:val="71F413EE"/>
    <w:rsid w:val="72586AB5"/>
    <w:rsid w:val="725C6CA3"/>
    <w:rsid w:val="72B419CF"/>
    <w:rsid w:val="73303F18"/>
    <w:rsid w:val="74D00C55"/>
    <w:rsid w:val="755F2701"/>
    <w:rsid w:val="75785319"/>
    <w:rsid w:val="75EA0EE8"/>
    <w:rsid w:val="76921C0F"/>
    <w:rsid w:val="772201F2"/>
    <w:rsid w:val="775C6379"/>
    <w:rsid w:val="77E61C76"/>
    <w:rsid w:val="78171136"/>
    <w:rsid w:val="791B322B"/>
    <w:rsid w:val="79C15CF6"/>
    <w:rsid w:val="79CF3B1B"/>
    <w:rsid w:val="7A235085"/>
    <w:rsid w:val="7B895536"/>
    <w:rsid w:val="7C7225D5"/>
    <w:rsid w:val="7CBA536A"/>
    <w:rsid w:val="7D641DDF"/>
    <w:rsid w:val="7D693BAD"/>
    <w:rsid w:val="7D8B0CDD"/>
    <w:rsid w:val="7DC03A6F"/>
    <w:rsid w:val="7DFC3B04"/>
    <w:rsid w:val="7E7972AF"/>
    <w:rsid w:val="7EB51162"/>
    <w:rsid w:val="7EE069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36"/>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37"/>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39"/>
    <w:unhideWhenUsed/>
    <w:qFormat/>
    <w:uiPriority w:val="99"/>
    <w:rPr>
      <w:rFonts w:ascii="宋体"/>
      <w:sz w:val="18"/>
      <w:szCs w:val="18"/>
    </w:rPr>
  </w:style>
  <w:style w:type="paragraph" w:styleId="9">
    <w:name w:val="annotation text"/>
    <w:basedOn w:val="1"/>
    <w:link w:val="52"/>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4"/>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5"/>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0"/>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56"/>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4"/>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5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yperlink"/>
    <w:basedOn w:val="30"/>
    <w:unhideWhenUsed/>
    <w:qFormat/>
    <w:uiPriority w:val="99"/>
    <w:rPr>
      <w:color w:val="0563C1" w:themeColor="hyperlink"/>
      <w:u w:val="single"/>
      <w14:textFill>
        <w14:solidFill>
          <w14:schemeClr w14:val="hlink"/>
        </w14:solidFill>
      </w14:textFill>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37">
    <w:name w:val="标题 3 字符"/>
    <w:basedOn w:val="30"/>
    <w:link w:val="5"/>
    <w:semiHidden/>
    <w:qFormat/>
    <w:uiPriority w:val="9"/>
    <w:rPr>
      <w:rFonts w:eastAsia="仿宋"/>
      <w:b/>
      <w:bCs/>
      <w:sz w:val="32"/>
      <w:szCs w:val="32"/>
    </w:rPr>
  </w:style>
  <w:style w:type="character" w:customStyle="1" w:styleId="38">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39">
    <w:name w:val="文档结构图 字符"/>
    <w:basedOn w:val="30"/>
    <w:link w:val="8"/>
    <w:qFormat/>
    <w:uiPriority w:val="0"/>
    <w:rPr>
      <w:rFonts w:ascii="宋体"/>
      <w:sz w:val="18"/>
      <w:szCs w:val="18"/>
    </w:rPr>
  </w:style>
  <w:style w:type="character" w:customStyle="1" w:styleId="40">
    <w:name w:val="批注框文本 字符"/>
    <w:basedOn w:val="30"/>
    <w:link w:val="15"/>
    <w:qFormat/>
    <w:uiPriority w:val="0"/>
    <w:rPr>
      <w:sz w:val="18"/>
      <w:szCs w:val="18"/>
    </w:rPr>
  </w:style>
  <w:style w:type="character" w:customStyle="1" w:styleId="41">
    <w:name w:val="页脚 字符"/>
    <w:basedOn w:val="30"/>
    <w:link w:val="16"/>
    <w:qFormat/>
    <w:uiPriority w:val="99"/>
    <w:rPr>
      <w:sz w:val="18"/>
      <w:szCs w:val="18"/>
    </w:rPr>
  </w:style>
  <w:style w:type="character" w:customStyle="1" w:styleId="42">
    <w:name w:val="页眉 字符"/>
    <w:basedOn w:val="30"/>
    <w:link w:val="17"/>
    <w:qFormat/>
    <w:uiPriority w:val="99"/>
    <w:rPr>
      <w:sz w:val="18"/>
      <w:szCs w:val="18"/>
    </w:rPr>
  </w:style>
  <w:style w:type="character" w:customStyle="1" w:styleId="43">
    <w:name w:val="HTML 预设格式 字符"/>
    <w:basedOn w:val="30"/>
    <w:link w:val="24"/>
    <w:qFormat/>
    <w:uiPriority w:val="99"/>
    <w:rPr>
      <w:rFonts w:ascii="宋体" w:hAnsi="宋体"/>
      <w:color w:val="auto"/>
      <w:kern w:val="0"/>
      <w:sz w:val="24"/>
      <w:szCs w:val="24"/>
    </w:rPr>
  </w:style>
  <w:style w:type="character" w:customStyle="1" w:styleId="44">
    <w:name w:val="标题 字符"/>
    <w:basedOn w:val="30"/>
    <w:link w:val="26"/>
    <w:qFormat/>
    <w:uiPriority w:val="10"/>
    <w:rPr>
      <w:rFonts w:ascii="Cambria" w:hAnsi="Cambria" w:eastAsia="仿宋_GB2312" w:cs="Times New Roman"/>
      <w:bCs/>
      <w:color w:val="auto"/>
      <w:sz w:val="24"/>
      <w:szCs w:val="32"/>
    </w:rPr>
  </w:style>
  <w:style w:type="paragraph" w:styleId="45">
    <w:name w:val="List Paragraph"/>
    <w:basedOn w:val="1"/>
    <w:qFormat/>
    <w:uiPriority w:val="34"/>
    <w:pPr>
      <w:ind w:firstLine="420"/>
    </w:pPr>
    <w:rPr>
      <w:rFonts w:cstheme="minorBidi"/>
      <w:color w:val="auto"/>
      <w:szCs w:val="22"/>
    </w:rPr>
  </w:style>
  <w:style w:type="paragraph" w:customStyle="1" w:styleId="46">
    <w:name w:val="列出段落5"/>
    <w:basedOn w:val="1"/>
    <w:qFormat/>
    <w:uiPriority w:val="0"/>
    <w:pPr>
      <w:ind w:firstLine="420"/>
    </w:pPr>
    <w:rPr>
      <w:rFonts w:ascii="Calibri" w:hAnsi="Calibri"/>
      <w:color w:val="auto"/>
      <w:sz w:val="21"/>
      <w:szCs w:val="21"/>
    </w:rPr>
  </w:style>
  <w:style w:type="paragraph" w:customStyle="1" w:styleId="47">
    <w:name w:val="列出段落2"/>
    <w:basedOn w:val="1"/>
    <w:qFormat/>
    <w:uiPriority w:val="99"/>
    <w:pPr>
      <w:ind w:firstLine="420"/>
    </w:pPr>
    <w:rPr>
      <w:rFonts w:ascii="Calibri" w:hAnsi="Calibri"/>
      <w:color w:val="auto"/>
      <w:sz w:val="21"/>
      <w:szCs w:val="21"/>
    </w:rPr>
  </w:style>
  <w:style w:type="paragraph" w:customStyle="1" w:styleId="48">
    <w:name w:val="列出段落3"/>
    <w:basedOn w:val="1"/>
    <w:qFormat/>
    <w:uiPriority w:val="0"/>
    <w:pPr>
      <w:spacing w:line="360" w:lineRule="auto"/>
      <w:ind w:firstLine="420"/>
    </w:pPr>
    <w:rPr>
      <w:rFonts w:eastAsia="仿宋_GB2312" w:cs="Times New Roman"/>
      <w:color w:val="auto"/>
      <w:sz w:val="24"/>
      <w:szCs w:val="24"/>
    </w:rPr>
  </w:style>
  <w:style w:type="paragraph" w:customStyle="1" w:styleId="49">
    <w:name w:val="WPSOffice手动目录 1"/>
    <w:qFormat/>
    <w:uiPriority w:val="0"/>
    <w:rPr>
      <w:rFonts w:ascii="Calibri" w:hAnsi="Calibri" w:eastAsia="宋体" w:cs="Times New Roman"/>
      <w:lang w:val="en-US" w:eastAsia="zh-CN" w:bidi="ar-SA"/>
    </w:rPr>
  </w:style>
  <w:style w:type="paragraph" w:customStyle="1" w:styleId="50">
    <w:name w:val="WPSOffice手动目录 2"/>
    <w:qFormat/>
    <w:uiPriority w:val="0"/>
    <w:pPr>
      <w:ind w:left="200" w:leftChars="200"/>
    </w:pPr>
    <w:rPr>
      <w:rFonts w:ascii="Calibri" w:hAnsi="Calibri" w:eastAsia="宋体" w:cs="Times New Roman"/>
      <w:lang w:val="en-US" w:eastAsia="zh-CN" w:bidi="ar-SA"/>
    </w:rPr>
  </w:style>
  <w:style w:type="paragraph" w:customStyle="1" w:styleId="51">
    <w:name w:val="WPSOffice手动目录 3"/>
    <w:qFormat/>
    <w:uiPriority w:val="0"/>
    <w:pPr>
      <w:ind w:left="400" w:leftChars="400"/>
    </w:pPr>
    <w:rPr>
      <w:rFonts w:ascii="Calibri" w:hAnsi="Calibri" w:eastAsia="宋体" w:cs="Times New Roman"/>
      <w:lang w:val="en-US" w:eastAsia="zh-CN" w:bidi="ar-SA"/>
    </w:rPr>
  </w:style>
  <w:style w:type="character" w:customStyle="1" w:styleId="52">
    <w:name w:val="批注文字 字符"/>
    <w:link w:val="9"/>
    <w:qFormat/>
    <w:uiPriority w:val="0"/>
    <w:rPr>
      <w:rFonts w:ascii="等线" w:hAnsi="等线" w:eastAsia="仿宋_GB2312"/>
      <w:kern w:val="2"/>
      <w:sz w:val="24"/>
      <w:szCs w:val="24"/>
    </w:rPr>
  </w:style>
  <w:style w:type="character" w:customStyle="1" w:styleId="53">
    <w:name w:val="批注文字 Char"/>
    <w:basedOn w:val="30"/>
    <w:qFormat/>
    <w:uiPriority w:val="99"/>
    <w:rPr>
      <w:rFonts w:cs="宋体"/>
      <w:color w:val="000000"/>
      <w:kern w:val="2"/>
      <w:sz w:val="28"/>
      <w:szCs w:val="28"/>
    </w:rPr>
  </w:style>
  <w:style w:type="character" w:customStyle="1" w:styleId="54">
    <w:name w:val="正文文本缩进 字符"/>
    <w:basedOn w:val="30"/>
    <w:link w:val="10"/>
    <w:qFormat/>
    <w:uiPriority w:val="99"/>
    <w:rPr>
      <w:rFonts w:ascii="等线" w:hAnsi="等线" w:eastAsia="仿宋_GB2312"/>
      <w:kern w:val="2"/>
      <w:sz w:val="32"/>
      <w:szCs w:val="24"/>
    </w:rPr>
  </w:style>
  <w:style w:type="character" w:customStyle="1" w:styleId="55">
    <w:name w:val="日期 字符"/>
    <w:basedOn w:val="30"/>
    <w:link w:val="14"/>
    <w:qFormat/>
    <w:uiPriority w:val="99"/>
    <w:rPr>
      <w:rFonts w:ascii="等线" w:hAnsi="等线" w:eastAsia="仿宋_GB2312"/>
      <w:kern w:val="2"/>
      <w:sz w:val="24"/>
      <w:szCs w:val="24"/>
    </w:rPr>
  </w:style>
  <w:style w:type="character" w:customStyle="1" w:styleId="56">
    <w:name w:val="副标题 字符"/>
    <w:basedOn w:val="30"/>
    <w:link w:val="20"/>
    <w:qFormat/>
    <w:uiPriority w:val="11"/>
    <w:rPr>
      <w:rFonts w:ascii="Cambria" w:hAnsi="Cambria" w:eastAsia="等线"/>
      <w:b/>
      <w:bCs/>
      <w:kern w:val="28"/>
      <w:szCs w:val="32"/>
    </w:rPr>
  </w:style>
  <w:style w:type="character" w:customStyle="1" w:styleId="57">
    <w:name w:val="批注主题 字符"/>
    <w:basedOn w:val="52"/>
    <w:link w:val="27"/>
    <w:semiHidden/>
    <w:qFormat/>
    <w:uiPriority w:val="99"/>
    <w:rPr>
      <w:rFonts w:ascii="等线" w:hAnsi="等线" w:eastAsia="仿宋_GB2312"/>
      <w:b/>
      <w:bCs/>
      <w:kern w:val="2"/>
      <w:sz w:val="24"/>
      <w:szCs w:val="24"/>
    </w:rPr>
  </w:style>
  <w:style w:type="character" w:customStyle="1" w:styleId="58">
    <w:name w:val="批注主题 Char"/>
    <w:basedOn w:val="53"/>
    <w:link w:val="59"/>
    <w:qFormat/>
    <w:uiPriority w:val="0"/>
    <w:rPr>
      <w:rFonts w:cs="宋体"/>
      <w:b/>
      <w:bCs/>
      <w:color w:val="000000"/>
      <w:kern w:val="2"/>
      <w:sz w:val="28"/>
      <w:szCs w:val="28"/>
    </w:rPr>
  </w:style>
  <w:style w:type="paragraph" w:customStyle="1" w:styleId="59">
    <w:name w:val="批注主题1"/>
    <w:basedOn w:val="9"/>
    <w:next w:val="9"/>
    <w:link w:val="58"/>
    <w:qFormat/>
    <w:uiPriority w:val="0"/>
    <w:rPr>
      <w:rFonts w:ascii="Times New Roman" w:hAnsi="Times New Roman" w:eastAsia="宋体" w:cs="宋体"/>
      <w:b/>
      <w:bCs/>
      <w:color w:val="000000"/>
      <w:sz w:val="28"/>
      <w:szCs w:val="28"/>
    </w:rPr>
  </w:style>
  <w:style w:type="character" w:customStyle="1" w:styleId="60">
    <w:name w:val="apple-converted-space"/>
    <w:basedOn w:val="30"/>
    <w:qFormat/>
    <w:uiPriority w:val="0"/>
  </w:style>
  <w:style w:type="character" w:customStyle="1" w:styleId="61">
    <w:name w:val="页码1"/>
    <w:basedOn w:val="30"/>
    <w:qFormat/>
    <w:uiPriority w:val="0"/>
  </w:style>
  <w:style w:type="character" w:customStyle="1" w:styleId="62">
    <w:name w:val="批注引用1"/>
    <w:qFormat/>
    <w:uiPriority w:val="0"/>
    <w:rPr>
      <w:sz w:val="21"/>
      <w:szCs w:val="21"/>
    </w:rPr>
  </w:style>
  <w:style w:type="paragraph" w:customStyle="1" w:styleId="63">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4">
    <w:name w:val="_Style 1"/>
    <w:basedOn w:val="1"/>
    <w:qFormat/>
    <w:uiPriority w:val="0"/>
    <w:pPr>
      <w:spacing w:line="360" w:lineRule="auto"/>
      <w:ind w:firstLine="200"/>
    </w:pPr>
    <w:rPr>
      <w:rFonts w:ascii="等线" w:hAnsi="等线" w:cs="Times New Roman"/>
      <w:color w:val="auto"/>
      <w:sz w:val="21"/>
      <w:szCs w:val="24"/>
    </w:rPr>
  </w:style>
  <w:style w:type="paragraph" w:customStyle="1" w:styleId="65">
    <w:name w:val="p16"/>
    <w:basedOn w:val="1"/>
    <w:qFormat/>
    <w:uiPriority w:val="0"/>
    <w:pPr>
      <w:widowControl/>
      <w:ind w:firstLine="420"/>
    </w:pPr>
    <w:rPr>
      <w:rFonts w:ascii="Calibri" w:hAnsi="Calibri"/>
      <w:color w:val="auto"/>
      <w:kern w:val="0"/>
      <w:sz w:val="21"/>
      <w:szCs w:val="21"/>
    </w:rPr>
  </w:style>
  <w:style w:type="paragraph" w:customStyle="1" w:styleId="66">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67">
    <w:name w:val="列出段落4"/>
    <w:basedOn w:val="1"/>
    <w:qFormat/>
    <w:uiPriority w:val="0"/>
    <w:pPr>
      <w:ind w:firstLine="420"/>
    </w:pPr>
    <w:rPr>
      <w:rFonts w:ascii="Calibri" w:hAnsi="Calibri"/>
      <w:color w:val="auto"/>
      <w:sz w:val="21"/>
      <w:szCs w:val="21"/>
    </w:rPr>
  </w:style>
  <w:style w:type="paragraph" w:customStyle="1" w:styleId="68">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69">
    <w:name w:val="修订11"/>
    <w:qFormat/>
    <w:uiPriority w:val="0"/>
    <w:rPr>
      <w:rFonts w:ascii="等线" w:hAnsi="等线" w:eastAsia="仿宋_GB2312" w:cs="Times New Roman"/>
      <w:kern w:val="2"/>
      <w:sz w:val="24"/>
      <w:szCs w:val="24"/>
      <w:lang w:val="en-US" w:eastAsia="zh-CN" w:bidi="ar-SA"/>
    </w:rPr>
  </w:style>
  <w:style w:type="paragraph" w:customStyle="1" w:styleId="70">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1">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2">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3">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4">
    <w:name w:val="Body text|1_"/>
    <w:basedOn w:val="30"/>
    <w:link w:val="75"/>
    <w:qFormat/>
    <w:uiPriority w:val="0"/>
    <w:rPr>
      <w:rFonts w:ascii="宋体" w:hAnsi="宋体" w:cs="宋体"/>
      <w:sz w:val="28"/>
      <w:szCs w:val="28"/>
      <w:lang w:val="zh-TW" w:eastAsia="zh-TW" w:bidi="zh-TW"/>
    </w:rPr>
  </w:style>
  <w:style w:type="paragraph" w:customStyle="1" w:styleId="75">
    <w:name w:val="Body text|1"/>
    <w:basedOn w:val="1"/>
    <w:link w:val="74"/>
    <w:qFormat/>
    <w:uiPriority w:val="0"/>
    <w:pPr>
      <w:spacing w:line="406" w:lineRule="auto"/>
      <w:ind w:firstLine="400"/>
      <w:jc w:val="left"/>
    </w:pPr>
    <w:rPr>
      <w:rFonts w:ascii="宋体" w:hAnsi="宋体"/>
      <w:color w:val="auto"/>
      <w:kern w:val="0"/>
      <w:lang w:val="zh-TW" w:eastAsia="zh-TW" w:bidi="zh-TW"/>
    </w:rPr>
  </w:style>
  <w:style w:type="paragraph" w:customStyle="1" w:styleId="76">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0">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1">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5">
    <w:name w:val="文档结构图 Char1"/>
    <w:semiHidden/>
    <w:qFormat/>
    <w:uiPriority w:val="99"/>
    <w:rPr>
      <w:rFonts w:ascii="宋体"/>
      <w:kern w:val="2"/>
      <w:sz w:val="18"/>
      <w:szCs w:val="18"/>
    </w:rPr>
  </w:style>
  <w:style w:type="paragraph" w:customStyle="1" w:styleId="86">
    <w:name w:val="修订1"/>
    <w:semiHidden/>
    <w:qFormat/>
    <w:uiPriority w:val="99"/>
    <w:rPr>
      <w:rFonts w:ascii="等线" w:hAnsi="等线" w:eastAsia="仿宋_GB2312" w:cs="Times New Roman"/>
      <w:kern w:val="2"/>
      <w:sz w:val="24"/>
      <w:szCs w:val="24"/>
      <w:lang w:val="en-US" w:eastAsia="zh-CN" w:bidi="ar-SA"/>
    </w:rPr>
  </w:style>
  <w:style w:type="character" w:customStyle="1" w:styleId="87">
    <w:name w:val="font41"/>
    <w:basedOn w:val="30"/>
    <w:qFormat/>
    <w:uiPriority w:val="0"/>
    <w:rPr>
      <w:rFonts w:hint="eastAsia" w:ascii="宋体" w:hAnsi="宋体" w:eastAsia="宋体" w:cs="宋体"/>
      <w:color w:val="000000"/>
      <w:sz w:val="20"/>
      <w:szCs w:val="20"/>
      <w:u w:val="none"/>
    </w:rPr>
  </w:style>
  <w:style w:type="character" w:customStyle="1" w:styleId="88">
    <w:name w:val="font11"/>
    <w:basedOn w:val="30"/>
    <w:qFormat/>
    <w:uiPriority w:val="0"/>
    <w:rPr>
      <w:rFonts w:hint="eastAsia" w:ascii="宋体" w:hAnsi="宋体" w:eastAsia="宋体" w:cs="宋体"/>
      <w:color w:val="FF0000"/>
      <w:sz w:val="20"/>
      <w:szCs w:val="20"/>
      <w:u w:val="none"/>
    </w:rPr>
  </w:style>
  <w:style w:type="character" w:customStyle="1" w:styleId="89">
    <w:name w:val="font71"/>
    <w:basedOn w:val="30"/>
    <w:qFormat/>
    <w:uiPriority w:val="0"/>
    <w:rPr>
      <w:rFonts w:hint="eastAsia" w:ascii="仿宋" w:hAnsi="仿宋" w:eastAsia="仿宋" w:cs="仿宋"/>
      <w:color w:val="FF0000"/>
      <w:sz w:val="20"/>
      <w:szCs w:val="20"/>
      <w:u w:val="none"/>
    </w:rPr>
  </w:style>
  <w:style w:type="character" w:customStyle="1" w:styleId="90">
    <w:name w:val="font21"/>
    <w:basedOn w:val="30"/>
    <w:qFormat/>
    <w:uiPriority w:val="0"/>
    <w:rPr>
      <w:rFonts w:hint="eastAsia" w:ascii="仿宋" w:hAnsi="仿宋" w:eastAsia="仿宋" w:cs="仿宋"/>
      <w:color w:val="ED7D31"/>
      <w:sz w:val="20"/>
      <w:szCs w:val="20"/>
      <w:u w:val="none"/>
    </w:rPr>
  </w:style>
  <w:style w:type="character" w:customStyle="1" w:styleId="91">
    <w:name w:val="font51"/>
    <w:basedOn w:val="30"/>
    <w:qFormat/>
    <w:uiPriority w:val="0"/>
    <w:rPr>
      <w:rFonts w:hint="eastAsia" w:ascii="仿宋" w:hAnsi="仿宋" w:eastAsia="仿宋" w:cs="仿宋"/>
      <w:color w:val="000000"/>
      <w:sz w:val="20"/>
      <w:szCs w:val="20"/>
      <w:u w:val="none"/>
    </w:rPr>
  </w:style>
  <w:style w:type="character" w:customStyle="1" w:styleId="92">
    <w:name w:val="font31"/>
    <w:basedOn w:val="30"/>
    <w:qFormat/>
    <w:uiPriority w:val="0"/>
    <w:rPr>
      <w:rFonts w:hint="eastAsia" w:ascii="仿宋" w:hAnsi="仿宋" w:eastAsia="仿宋" w:cs="仿宋"/>
      <w:color w:val="0070C0"/>
      <w:sz w:val="20"/>
      <w:szCs w:val="20"/>
      <w:u w:val="none"/>
    </w:rPr>
  </w:style>
  <w:style w:type="character" w:customStyle="1" w:styleId="93">
    <w:name w:val="font91"/>
    <w:basedOn w:val="30"/>
    <w:qFormat/>
    <w:uiPriority w:val="0"/>
    <w:rPr>
      <w:rFonts w:ascii="Wingdings" w:hAnsi="Wingdings" w:cs="Wingdings"/>
      <w:color w:val="000000"/>
      <w:sz w:val="20"/>
      <w:szCs w:val="20"/>
      <w:u w:val="none"/>
    </w:rPr>
  </w:style>
  <w:style w:type="character" w:customStyle="1" w:styleId="94">
    <w:name w:val="font61"/>
    <w:basedOn w:val="30"/>
    <w:qFormat/>
    <w:uiPriority w:val="0"/>
    <w:rPr>
      <w:rFonts w:hint="eastAsia" w:ascii="仿宋" w:hAnsi="仿宋" w:eastAsia="仿宋" w:cs="仿宋"/>
      <w:color w:val="000000"/>
      <w:sz w:val="20"/>
      <w:szCs w:val="20"/>
      <w:u w:val="none"/>
    </w:rPr>
  </w:style>
  <w:style w:type="character" w:customStyle="1" w:styleId="95">
    <w:name w:val="font81"/>
    <w:basedOn w:val="30"/>
    <w:qFormat/>
    <w:uiPriority w:val="0"/>
    <w:rPr>
      <w:rFonts w:hint="default" w:ascii="Times New Roman" w:hAnsi="Times New Roman" w:cs="Times New Roman"/>
      <w:color w:val="000000"/>
      <w:sz w:val="20"/>
      <w:szCs w:val="20"/>
      <w:u w:val="none"/>
    </w:rPr>
  </w:style>
  <w:style w:type="character" w:customStyle="1" w:styleId="96">
    <w:name w:val="font01"/>
    <w:basedOn w:val="30"/>
    <w:qFormat/>
    <w:uiPriority w:val="0"/>
    <w:rPr>
      <w:rFonts w:hint="eastAsia" w:ascii="宋体" w:hAnsi="宋体" w:eastAsia="宋体" w:cs="宋体"/>
      <w:color w:val="000000"/>
      <w:sz w:val="24"/>
      <w:szCs w:val="24"/>
      <w:u w:val="none"/>
    </w:rPr>
  </w:style>
  <w:style w:type="character" w:customStyle="1" w:styleId="97">
    <w:name w:val="Other|1_"/>
    <w:basedOn w:val="30"/>
    <w:link w:val="98"/>
    <w:qFormat/>
    <w:uiPriority w:val="0"/>
    <w:rPr>
      <w:rFonts w:ascii="宋体" w:hAnsi="宋体" w:cs="宋体"/>
      <w:sz w:val="30"/>
      <w:szCs w:val="30"/>
      <w:lang w:val="zh-TW" w:eastAsia="zh-TW" w:bidi="zh-TW"/>
    </w:rPr>
  </w:style>
  <w:style w:type="paragraph" w:customStyle="1" w:styleId="98">
    <w:name w:val="Other|1"/>
    <w:basedOn w:val="1"/>
    <w:link w:val="97"/>
    <w:qFormat/>
    <w:uiPriority w:val="0"/>
    <w:pPr>
      <w:spacing w:line="422" w:lineRule="auto"/>
      <w:ind w:firstLine="400" w:firstLineChars="0"/>
      <w:jc w:val="left"/>
    </w:pPr>
    <w:rPr>
      <w:rFonts w:ascii="宋体" w:hAnsi="宋体" w:eastAsia="宋体"/>
      <w:color w:val="auto"/>
      <w:kern w:val="0"/>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3467</Words>
  <Characters>3750</Characters>
  <Lines>22</Lines>
  <Paragraphs>6</Paragraphs>
  <TotalTime>2</TotalTime>
  <ScaleCrop>false</ScaleCrop>
  <LinksUpToDate>false</LinksUpToDate>
  <CharactersWithSpaces>3852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丫丫</cp:lastModifiedBy>
  <cp:lastPrinted>2023-04-24T12:59:00Z</cp:lastPrinted>
  <dcterms:modified xsi:type="dcterms:W3CDTF">2023-04-27T09:24:22Z</dcterms:modified>
  <cp:revision>246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5F2BE19DB3CD40A59E3F3BDFBAFD4983</vt:lpwstr>
  </property>
</Properties>
</file>